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14CC" w14:textId="77777777" w:rsidR="00424260" w:rsidRPr="00886C98" w:rsidRDefault="00424260" w:rsidP="00C62E74">
      <w:pPr>
        <w:spacing w:line="259" w:lineRule="auto"/>
        <w:ind w:left="1417" w:firstLine="707"/>
        <w:jc w:val="both"/>
        <w:rPr>
          <w:lang w:val="cs-CZ"/>
        </w:rPr>
      </w:pPr>
      <w:r w:rsidRPr="00424260">
        <w:rPr>
          <w:rFonts w:ascii="Arial" w:eastAsia="Arial" w:hAnsi="Arial" w:cs="Arial"/>
          <w:b/>
          <w:sz w:val="30"/>
          <w:lang w:val="cs-CZ"/>
        </w:rPr>
        <w:t xml:space="preserve">INFORMAČNÍ POVINNOST </w:t>
      </w:r>
    </w:p>
    <w:p w14:paraId="672DBE55" w14:textId="723E0DB6" w:rsidR="00424260" w:rsidRPr="00886C98" w:rsidRDefault="00424260" w:rsidP="00886C98">
      <w:pPr>
        <w:spacing w:after="96" w:line="259" w:lineRule="auto"/>
        <w:ind w:left="3134" w:right="999" w:firstLine="406"/>
        <w:jc w:val="both"/>
        <w:rPr>
          <w:lang w:val="cs-CZ"/>
        </w:rPr>
      </w:pPr>
      <w:r w:rsidRPr="00886C98">
        <w:rPr>
          <w:lang w:val="cs-CZ"/>
        </w:rPr>
        <w:t xml:space="preserve">ke dni </w:t>
      </w:r>
      <w:r w:rsidR="007470EE">
        <w:rPr>
          <w:lang w:val="cs-CZ"/>
        </w:rPr>
        <w:t>31</w:t>
      </w:r>
      <w:r w:rsidRPr="00886C98">
        <w:rPr>
          <w:lang w:val="cs-CZ"/>
        </w:rPr>
        <w:t>.</w:t>
      </w:r>
      <w:r w:rsidR="007470EE">
        <w:rPr>
          <w:lang w:val="cs-CZ"/>
        </w:rPr>
        <w:t>12</w:t>
      </w:r>
      <w:r w:rsidRPr="00886C98">
        <w:rPr>
          <w:lang w:val="cs-CZ"/>
        </w:rPr>
        <w:t>.20</w:t>
      </w:r>
      <w:r w:rsidR="00830881">
        <w:rPr>
          <w:lang w:val="cs-CZ"/>
        </w:rPr>
        <w:t>20</w:t>
      </w:r>
      <w:r w:rsidRPr="00886C98">
        <w:rPr>
          <w:lang w:val="cs-CZ"/>
        </w:rPr>
        <w:t xml:space="preserve"> </w:t>
      </w:r>
    </w:p>
    <w:p w14:paraId="60EBB631" w14:textId="5CD8069B" w:rsidR="00424260" w:rsidRPr="00886C98" w:rsidRDefault="00424260" w:rsidP="00886C98">
      <w:pPr>
        <w:ind w:left="-5"/>
        <w:jc w:val="both"/>
        <w:rPr>
          <w:lang w:val="cs-CZ"/>
        </w:rPr>
      </w:pPr>
      <w:r w:rsidRPr="00886C98">
        <w:rPr>
          <w:lang w:val="cs-CZ"/>
        </w:rPr>
        <w:t xml:space="preserve">Informační povinnost obchodníka s cennými papíry dle ustanovení § 16b zákona č. </w:t>
      </w:r>
      <w:r w:rsidRPr="009E2381">
        <w:rPr>
          <w:lang w:val="cs-CZ"/>
        </w:rPr>
        <w:t>256/2004 Sb</w:t>
      </w:r>
      <w:r w:rsidRPr="00886C98">
        <w:rPr>
          <w:lang w:val="cs-CZ"/>
        </w:rPr>
        <w:t>., o podnikání na kapitálovém trhu</w:t>
      </w:r>
      <w:r w:rsidR="0013666C">
        <w:rPr>
          <w:lang w:val="cs-CZ"/>
        </w:rPr>
        <w:t>, v platném znění</w:t>
      </w:r>
      <w:r w:rsidR="009E2381">
        <w:rPr>
          <w:lang w:val="cs-CZ"/>
        </w:rPr>
        <w:t xml:space="preserve"> (dále jen „</w:t>
      </w:r>
      <w:hyperlink r:id="rId7" w:history="1">
        <w:r w:rsidR="009E2381" w:rsidRPr="009E2381">
          <w:rPr>
            <w:rStyle w:val="Hyperlink"/>
            <w:i/>
            <w:iCs/>
            <w:lang w:val="cs-CZ"/>
          </w:rPr>
          <w:t>ZPKT</w:t>
        </w:r>
      </w:hyperlink>
      <w:r w:rsidR="009E2381">
        <w:rPr>
          <w:lang w:val="cs-CZ"/>
        </w:rPr>
        <w:t xml:space="preserve">“) </w:t>
      </w:r>
      <w:r w:rsidRPr="00886C98">
        <w:rPr>
          <w:lang w:val="cs-CZ"/>
        </w:rPr>
        <w:t xml:space="preserve">týkající se údajů o druzích a rozsahu poskytnutých investičních služeb a údajů o OTC obchodech s akciemi. Uveřejňování údajů o druzích a rozsahu poskytnutých investičních služeb je blíže upraveno </w:t>
      </w:r>
      <w:r w:rsidR="00886C98">
        <w:rPr>
          <w:lang w:val="cs-CZ"/>
        </w:rPr>
        <w:t>ve vyhlášce</w:t>
      </w:r>
      <w:r w:rsidRPr="00886C98">
        <w:rPr>
          <w:lang w:val="cs-CZ"/>
        </w:rPr>
        <w:t xml:space="preserve"> č. </w:t>
      </w:r>
      <w:hyperlink r:id="rId8" w:history="1">
        <w:r w:rsidRPr="00117AA6">
          <w:rPr>
            <w:rStyle w:val="Hyperlink"/>
            <w:lang w:val="cs-CZ"/>
          </w:rPr>
          <w:t>163/2014 Sb.,</w:t>
        </w:r>
      </w:hyperlink>
      <w:r w:rsidRPr="00886C98">
        <w:rPr>
          <w:lang w:val="cs-CZ"/>
        </w:rPr>
        <w:t xml:space="preserve"> resp. její příloze č. 12 a v </w:t>
      </w:r>
      <w:hyperlink r:id="rId9" w:history="1">
        <w:r w:rsidRPr="00117AA6">
          <w:rPr>
            <w:rStyle w:val="Hyperlink"/>
            <w:lang w:val="cs-CZ"/>
          </w:rPr>
          <w:t>úředním sdělení ČNB</w:t>
        </w:r>
      </w:hyperlink>
      <w:r w:rsidRPr="00886C98">
        <w:rPr>
          <w:lang w:val="cs-CZ"/>
        </w:rPr>
        <w:t xml:space="preserve"> ze dne 18. září 2014. </w:t>
      </w:r>
    </w:p>
    <w:p w14:paraId="4DB9648B" w14:textId="77777777" w:rsidR="00424260" w:rsidRPr="00886C98" w:rsidRDefault="00424260" w:rsidP="00886C98">
      <w:pPr>
        <w:spacing w:after="150" w:line="259" w:lineRule="auto"/>
        <w:jc w:val="both"/>
        <w:rPr>
          <w:lang w:val="cs-CZ"/>
        </w:rPr>
      </w:pPr>
      <w:r w:rsidRPr="00886C98">
        <w:rPr>
          <w:rFonts w:ascii="Arial" w:eastAsia="Arial" w:hAnsi="Arial" w:cs="Arial"/>
          <w:b/>
          <w:lang w:val="cs-CZ"/>
        </w:rPr>
        <w:t xml:space="preserve"> </w:t>
      </w:r>
    </w:p>
    <w:p w14:paraId="5C53142B" w14:textId="77777777" w:rsidR="00424260" w:rsidRPr="00886C98" w:rsidRDefault="00424260" w:rsidP="00886C98">
      <w:pPr>
        <w:pStyle w:val="Heading1"/>
        <w:ind w:left="-5"/>
        <w:jc w:val="both"/>
        <w:rPr>
          <w:lang w:val="cs-CZ"/>
        </w:rPr>
      </w:pPr>
      <w:r w:rsidRPr="00886C98">
        <w:rPr>
          <w:lang w:val="cs-CZ"/>
        </w:rPr>
        <w:t xml:space="preserve">Údaje o Lynx B.V., organizační složka </w:t>
      </w:r>
    </w:p>
    <w:p w14:paraId="7A399022" w14:textId="760EBEC9" w:rsidR="00424260" w:rsidRPr="00886C98" w:rsidRDefault="00424260" w:rsidP="00886C98">
      <w:pPr>
        <w:tabs>
          <w:tab w:val="center" w:pos="1999"/>
          <w:tab w:val="center" w:pos="2665"/>
          <w:tab w:val="center" w:pos="4442"/>
        </w:tabs>
        <w:ind w:left="-7"/>
        <w:jc w:val="both"/>
        <w:rPr>
          <w:lang w:val="cs-CZ"/>
        </w:rPr>
      </w:pPr>
      <w:r w:rsidRPr="00886C98">
        <w:rPr>
          <w:lang w:val="cs-CZ"/>
        </w:rPr>
        <w:t xml:space="preserve">Obchodní </w:t>
      </w:r>
      <w:proofErr w:type="gramStart"/>
      <w:r w:rsidRPr="00886C98">
        <w:rPr>
          <w:lang w:val="cs-CZ"/>
        </w:rPr>
        <w:t xml:space="preserve">firma:  </w:t>
      </w:r>
      <w:r w:rsidRPr="00886C98">
        <w:rPr>
          <w:lang w:val="cs-CZ"/>
        </w:rPr>
        <w:tab/>
      </w:r>
      <w:proofErr w:type="gramEnd"/>
      <w:r w:rsidRPr="00886C98">
        <w:rPr>
          <w:lang w:val="cs-CZ"/>
        </w:rPr>
        <w:t xml:space="preserve"> </w:t>
      </w:r>
      <w:r w:rsidRPr="00886C98">
        <w:rPr>
          <w:lang w:val="cs-CZ"/>
        </w:rPr>
        <w:tab/>
        <w:t xml:space="preserve"> </w:t>
      </w:r>
      <w:r w:rsidRPr="00886C98">
        <w:rPr>
          <w:lang w:val="cs-CZ"/>
        </w:rPr>
        <w:tab/>
      </w:r>
      <w:r w:rsidR="00886C98" w:rsidRPr="00886C98">
        <w:rPr>
          <w:lang w:val="cs-CZ"/>
        </w:rPr>
        <w:t xml:space="preserve"> </w:t>
      </w:r>
      <w:r w:rsidRPr="00886C98">
        <w:rPr>
          <w:lang w:val="cs-CZ"/>
        </w:rPr>
        <w:t xml:space="preserve">Lynx B.V., organizační složka </w:t>
      </w:r>
    </w:p>
    <w:p w14:paraId="0D5B5261" w14:textId="2EBA1364" w:rsidR="00424260" w:rsidRPr="00886C98" w:rsidRDefault="00424260" w:rsidP="00886C98">
      <w:pPr>
        <w:tabs>
          <w:tab w:val="center" w:pos="1333"/>
          <w:tab w:val="center" w:pos="1999"/>
          <w:tab w:val="center" w:pos="2665"/>
          <w:tab w:val="center" w:pos="4974"/>
        </w:tabs>
        <w:ind w:left="-7"/>
        <w:jc w:val="both"/>
        <w:rPr>
          <w:lang w:val="cs-CZ"/>
        </w:rPr>
      </w:pPr>
      <w:r w:rsidRPr="00886C98">
        <w:rPr>
          <w:lang w:val="cs-CZ"/>
        </w:rPr>
        <w:t xml:space="preserve">Právní forma: </w:t>
      </w:r>
      <w:r w:rsidRPr="00886C98">
        <w:rPr>
          <w:lang w:val="cs-CZ"/>
        </w:rPr>
        <w:tab/>
        <w:t xml:space="preserve"> </w:t>
      </w:r>
      <w:r w:rsidRPr="00886C98">
        <w:rPr>
          <w:lang w:val="cs-CZ"/>
        </w:rPr>
        <w:tab/>
        <w:t xml:space="preserve"> </w:t>
      </w:r>
      <w:r w:rsidRPr="00886C98">
        <w:rPr>
          <w:lang w:val="cs-CZ"/>
        </w:rPr>
        <w:tab/>
        <w:t xml:space="preserve"> </w:t>
      </w:r>
      <w:r w:rsidRPr="00886C98">
        <w:rPr>
          <w:lang w:val="cs-CZ"/>
        </w:rPr>
        <w:tab/>
      </w:r>
      <w:r w:rsidR="00886C98" w:rsidRPr="00886C98">
        <w:rPr>
          <w:lang w:val="cs-CZ"/>
        </w:rPr>
        <w:t xml:space="preserve"> </w:t>
      </w:r>
      <w:r w:rsidRPr="00886C98">
        <w:rPr>
          <w:lang w:val="cs-CZ"/>
        </w:rPr>
        <w:t xml:space="preserve">odštěpný závod zahraniční právnické osoby </w:t>
      </w:r>
    </w:p>
    <w:p w14:paraId="0374079E" w14:textId="33CBB8D6" w:rsidR="00424260" w:rsidRPr="00886C98" w:rsidRDefault="00424260" w:rsidP="00886C98">
      <w:pPr>
        <w:tabs>
          <w:tab w:val="center" w:pos="667"/>
          <w:tab w:val="center" w:pos="1333"/>
          <w:tab w:val="center" w:pos="1999"/>
          <w:tab w:val="center" w:pos="2665"/>
          <w:tab w:val="center" w:pos="5119"/>
        </w:tabs>
        <w:ind w:left="-7"/>
        <w:jc w:val="both"/>
        <w:rPr>
          <w:lang w:val="cs-CZ"/>
        </w:rPr>
      </w:pPr>
      <w:r w:rsidRPr="00886C98">
        <w:rPr>
          <w:lang w:val="cs-CZ"/>
        </w:rPr>
        <w:t xml:space="preserve">Sídlo: </w:t>
      </w:r>
      <w:r w:rsidRPr="00886C98">
        <w:rPr>
          <w:lang w:val="cs-CZ"/>
        </w:rPr>
        <w:tab/>
        <w:t xml:space="preserve"> </w:t>
      </w:r>
      <w:r w:rsidRPr="00886C98">
        <w:rPr>
          <w:lang w:val="cs-CZ"/>
        </w:rPr>
        <w:tab/>
        <w:t xml:space="preserve"> </w:t>
      </w:r>
      <w:r w:rsidRPr="00886C98">
        <w:rPr>
          <w:lang w:val="cs-CZ"/>
        </w:rPr>
        <w:tab/>
        <w:t xml:space="preserve"> </w:t>
      </w:r>
      <w:r w:rsidRPr="00886C98">
        <w:rPr>
          <w:lang w:val="cs-CZ"/>
        </w:rPr>
        <w:tab/>
        <w:t xml:space="preserve"> </w:t>
      </w:r>
      <w:r w:rsidR="00886C98" w:rsidRPr="00886C98">
        <w:rPr>
          <w:lang w:val="cs-CZ"/>
        </w:rPr>
        <w:tab/>
      </w:r>
      <w:r w:rsidRPr="00886C98">
        <w:rPr>
          <w:lang w:val="cs-CZ"/>
        </w:rPr>
        <w:t xml:space="preserve">Václavské náměstí 776/10, 110 00 Praha 1, ČR </w:t>
      </w:r>
    </w:p>
    <w:p w14:paraId="1554EA9A" w14:textId="3386AC3C" w:rsidR="00424260" w:rsidRPr="00886C98" w:rsidRDefault="00424260" w:rsidP="00886C98">
      <w:pPr>
        <w:tabs>
          <w:tab w:val="center" w:pos="1999"/>
          <w:tab w:val="center" w:pos="2665"/>
          <w:tab w:val="center" w:pos="3707"/>
        </w:tabs>
        <w:ind w:left="-7"/>
        <w:jc w:val="both"/>
        <w:rPr>
          <w:lang w:val="cs-CZ"/>
        </w:rPr>
      </w:pPr>
      <w:r w:rsidRPr="00886C98">
        <w:rPr>
          <w:lang w:val="cs-CZ"/>
        </w:rPr>
        <w:t xml:space="preserve">Identifikační číslo: </w:t>
      </w:r>
      <w:r w:rsidRPr="00886C98">
        <w:rPr>
          <w:lang w:val="cs-CZ"/>
        </w:rPr>
        <w:tab/>
        <w:t xml:space="preserve"> </w:t>
      </w:r>
      <w:r w:rsidRPr="00886C98">
        <w:rPr>
          <w:lang w:val="cs-CZ"/>
        </w:rPr>
        <w:tab/>
        <w:t xml:space="preserve"> </w:t>
      </w:r>
      <w:r w:rsidRPr="00886C98">
        <w:rPr>
          <w:lang w:val="cs-CZ"/>
        </w:rPr>
        <w:tab/>
      </w:r>
      <w:r w:rsidR="00886C98" w:rsidRPr="00886C98">
        <w:rPr>
          <w:lang w:val="cs-CZ"/>
        </w:rPr>
        <w:t xml:space="preserve">    </w:t>
      </w:r>
      <w:r w:rsidRPr="00886C98">
        <w:rPr>
          <w:lang w:val="cs-CZ"/>
        </w:rPr>
        <w:t xml:space="preserve">02451778 </w:t>
      </w:r>
    </w:p>
    <w:p w14:paraId="75B8E43E" w14:textId="55EC1DDC" w:rsidR="00424260" w:rsidRPr="00886C98" w:rsidRDefault="00424260" w:rsidP="00886C98">
      <w:pPr>
        <w:tabs>
          <w:tab w:val="center" w:pos="5587"/>
        </w:tabs>
        <w:spacing w:after="7"/>
        <w:ind w:left="-7"/>
        <w:jc w:val="both"/>
        <w:rPr>
          <w:lang w:val="cs-CZ"/>
        </w:rPr>
      </w:pPr>
      <w:r w:rsidRPr="00886C98">
        <w:rPr>
          <w:lang w:val="cs-CZ"/>
        </w:rPr>
        <w:t xml:space="preserve">Obchodní rejstřík: </w:t>
      </w:r>
      <w:r w:rsidRPr="00886C98">
        <w:rPr>
          <w:lang w:val="cs-CZ"/>
        </w:rPr>
        <w:tab/>
        <w:t xml:space="preserve">zapsána v obchodním rejstříku vedeném Městským soudem </w:t>
      </w:r>
    </w:p>
    <w:p w14:paraId="5119179B" w14:textId="1217597C" w:rsidR="00424260" w:rsidRPr="00886C98" w:rsidRDefault="00886C98" w:rsidP="00886C98">
      <w:pPr>
        <w:spacing w:after="96" w:line="259" w:lineRule="auto"/>
        <w:jc w:val="both"/>
        <w:rPr>
          <w:lang w:val="cs-CZ"/>
        </w:rPr>
      </w:pPr>
      <w:r w:rsidRPr="00886C98">
        <w:rPr>
          <w:lang w:val="cs-CZ"/>
        </w:rPr>
        <w:t xml:space="preserve">                                                                             </w:t>
      </w:r>
      <w:r w:rsidR="00424260" w:rsidRPr="00886C98">
        <w:rPr>
          <w:lang w:val="cs-CZ"/>
        </w:rPr>
        <w:t xml:space="preserve">v Praze, oddíl A, vložka č. 76398 </w:t>
      </w:r>
    </w:p>
    <w:p w14:paraId="4AAB8387" w14:textId="64335758" w:rsidR="00424260" w:rsidRPr="00886C98" w:rsidRDefault="00424260" w:rsidP="00886C98">
      <w:pPr>
        <w:tabs>
          <w:tab w:val="center" w:pos="4006"/>
        </w:tabs>
        <w:ind w:left="-7"/>
        <w:jc w:val="both"/>
        <w:rPr>
          <w:lang w:val="cs-CZ"/>
        </w:rPr>
      </w:pPr>
      <w:r w:rsidRPr="00886C98">
        <w:rPr>
          <w:lang w:val="cs-CZ"/>
        </w:rPr>
        <w:t xml:space="preserve">Datum zápisu do OR: </w:t>
      </w:r>
      <w:proofErr w:type="gramStart"/>
      <w:r w:rsidRPr="00886C98">
        <w:rPr>
          <w:lang w:val="cs-CZ"/>
        </w:rPr>
        <w:tab/>
      </w:r>
      <w:r w:rsidR="00886C98" w:rsidRPr="00886C98">
        <w:rPr>
          <w:lang w:val="cs-CZ"/>
        </w:rPr>
        <w:t xml:space="preserve">  </w:t>
      </w:r>
      <w:r w:rsidRPr="00886C98">
        <w:rPr>
          <w:lang w:val="cs-CZ"/>
        </w:rPr>
        <w:t>18.</w:t>
      </w:r>
      <w:proofErr w:type="gramEnd"/>
      <w:r w:rsidRPr="00886C98">
        <w:rPr>
          <w:lang w:val="cs-CZ"/>
        </w:rPr>
        <w:t xml:space="preserve"> prosince 2013 </w:t>
      </w:r>
    </w:p>
    <w:p w14:paraId="49E3F4A0" w14:textId="30C8EF05" w:rsidR="00E3397D" w:rsidRPr="00886C98" w:rsidRDefault="00E3397D" w:rsidP="00886C98">
      <w:pPr>
        <w:jc w:val="both"/>
        <w:rPr>
          <w:lang w:val="cs-CZ"/>
        </w:rPr>
      </w:pPr>
    </w:p>
    <w:p w14:paraId="6B8A549F" w14:textId="77777777" w:rsidR="00424260" w:rsidRPr="00886C98" w:rsidRDefault="00424260" w:rsidP="00886C98">
      <w:pPr>
        <w:spacing w:after="151" w:line="259" w:lineRule="auto"/>
        <w:ind w:left="8"/>
        <w:jc w:val="both"/>
        <w:rPr>
          <w:lang w:val="cs-CZ"/>
        </w:rPr>
      </w:pPr>
    </w:p>
    <w:p w14:paraId="34DD55A4" w14:textId="1A625519" w:rsidR="00424260" w:rsidRDefault="00424260" w:rsidP="00886C98">
      <w:pPr>
        <w:pStyle w:val="Heading1"/>
        <w:spacing w:after="0"/>
        <w:ind w:left="-5"/>
        <w:jc w:val="both"/>
        <w:rPr>
          <w:lang w:val="cs-CZ"/>
        </w:rPr>
      </w:pPr>
      <w:r w:rsidRPr="00886C98">
        <w:rPr>
          <w:lang w:val="cs-CZ"/>
        </w:rPr>
        <w:t xml:space="preserve">Organizační struktura Lynx B.V., organizační složka </w:t>
      </w:r>
    </w:p>
    <w:p w14:paraId="49676431" w14:textId="77777777" w:rsidR="00287EA5" w:rsidRPr="00287EA5" w:rsidRDefault="00287EA5" w:rsidP="00287EA5">
      <w:pPr>
        <w:rPr>
          <w:lang w:val="cs-CZ" w:eastAsia="en-US"/>
        </w:rPr>
      </w:pPr>
    </w:p>
    <w:p w14:paraId="2786702E" w14:textId="261504F7" w:rsidR="00424260" w:rsidRPr="00886C98" w:rsidRDefault="00287EA5" w:rsidP="00886C98">
      <w:pPr>
        <w:jc w:val="both"/>
        <w:rPr>
          <w:lang w:val="cs-CZ"/>
        </w:rPr>
      </w:pPr>
      <w:r w:rsidRPr="00287EA5">
        <w:rPr>
          <w:noProof/>
          <w:lang w:val="cs-CZ"/>
        </w:rPr>
        <w:drawing>
          <wp:inline distT="0" distB="0" distL="0" distR="0" wp14:anchorId="0F6C34CD" wp14:editId="06919734">
            <wp:extent cx="5490210" cy="3088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BADCE" w14:textId="5D37A9FC" w:rsidR="00424260" w:rsidRPr="00886C98" w:rsidRDefault="00424260" w:rsidP="00886C98">
      <w:pPr>
        <w:jc w:val="both"/>
        <w:rPr>
          <w:lang w:val="cs-CZ"/>
        </w:rPr>
      </w:pPr>
    </w:p>
    <w:p w14:paraId="4F59E542" w14:textId="77777777" w:rsidR="00A83067" w:rsidRDefault="00424260" w:rsidP="00803334">
      <w:pPr>
        <w:ind w:left="-5"/>
        <w:jc w:val="both"/>
        <w:rPr>
          <w:lang w:val="cs-CZ"/>
        </w:rPr>
      </w:pPr>
      <w:r w:rsidRPr="00886C98">
        <w:rPr>
          <w:lang w:val="cs-CZ"/>
        </w:rPr>
        <w:t xml:space="preserve">Vedení Lynx B.V., organizační složka je přímo zodpovědné vůči zřizovateli Lynx B.V. se sídlem Herengracht 527, 1017CB Amsterdam, Nizozemské království, zapsaném v podnikatelském obchodním rejstříku Obchodní komory (Kamer von </w:t>
      </w:r>
      <w:proofErr w:type="spellStart"/>
      <w:r w:rsidRPr="00886C98">
        <w:rPr>
          <w:lang w:val="cs-CZ"/>
        </w:rPr>
        <w:t>Koophandel</w:t>
      </w:r>
      <w:proofErr w:type="spellEnd"/>
      <w:r w:rsidRPr="00886C98">
        <w:rPr>
          <w:lang w:val="cs-CZ"/>
        </w:rPr>
        <w:t>) v</w:t>
      </w:r>
      <w:r w:rsidR="00A83067">
        <w:rPr>
          <w:lang w:val="cs-CZ"/>
        </w:rPr>
        <w:t> </w:t>
      </w:r>
      <w:r w:rsidRPr="00886C98">
        <w:rPr>
          <w:lang w:val="cs-CZ"/>
        </w:rPr>
        <w:t>Amsterdamu</w:t>
      </w:r>
      <w:r w:rsidR="00A83067">
        <w:rPr>
          <w:lang w:val="cs-CZ"/>
        </w:rPr>
        <w:t xml:space="preserve">, spis. zn. </w:t>
      </w:r>
      <w:proofErr w:type="spellStart"/>
      <w:r w:rsidR="00A83067" w:rsidRPr="00A83067">
        <w:rPr>
          <w:lang w:val="cs-CZ"/>
        </w:rPr>
        <w:t>KvK</w:t>
      </w:r>
      <w:proofErr w:type="spellEnd"/>
      <w:r w:rsidR="00A83067" w:rsidRPr="00A83067">
        <w:rPr>
          <w:lang w:val="cs-CZ"/>
        </w:rPr>
        <w:t xml:space="preserve"> 34253246</w:t>
      </w:r>
      <w:r w:rsidR="00A83067">
        <w:rPr>
          <w:lang w:val="cs-CZ"/>
        </w:rPr>
        <w:t xml:space="preserve">. </w:t>
      </w:r>
    </w:p>
    <w:p w14:paraId="421162EE" w14:textId="26A6B307" w:rsidR="00424260" w:rsidRPr="00886C98" w:rsidRDefault="00424260" w:rsidP="00803334">
      <w:pPr>
        <w:ind w:left="-5"/>
        <w:jc w:val="both"/>
        <w:rPr>
          <w:lang w:val="cs-CZ"/>
        </w:rPr>
      </w:pPr>
      <w:r w:rsidRPr="00886C98">
        <w:rPr>
          <w:lang w:val="cs-CZ"/>
        </w:rPr>
        <w:t xml:space="preserve">Lynx B.V., organizační složka má </w:t>
      </w:r>
      <w:r w:rsidR="00830881">
        <w:rPr>
          <w:lang w:val="cs-CZ"/>
        </w:rPr>
        <w:t>2</w:t>
      </w:r>
      <w:r w:rsidR="007470EE">
        <w:rPr>
          <w:lang w:val="cs-CZ"/>
        </w:rPr>
        <w:t>6</w:t>
      </w:r>
      <w:r w:rsidRPr="00886C98">
        <w:rPr>
          <w:lang w:val="cs-CZ"/>
        </w:rPr>
        <w:t xml:space="preserve"> zaměstnanců. </w:t>
      </w:r>
    </w:p>
    <w:p w14:paraId="7589CC75" w14:textId="4275A9F4" w:rsidR="00886C98" w:rsidRPr="00886C98" w:rsidRDefault="00886C98" w:rsidP="00886C98">
      <w:pPr>
        <w:spacing w:after="59"/>
        <w:ind w:left="-5"/>
        <w:jc w:val="both"/>
        <w:rPr>
          <w:lang w:val="cs-CZ"/>
        </w:rPr>
      </w:pPr>
    </w:p>
    <w:p w14:paraId="721B5434" w14:textId="77777777" w:rsidR="00886C98" w:rsidRPr="00886C98" w:rsidRDefault="00886C98" w:rsidP="00886C98">
      <w:pPr>
        <w:pStyle w:val="Heading1"/>
        <w:ind w:left="-5"/>
        <w:jc w:val="both"/>
        <w:rPr>
          <w:lang w:val="cs-CZ"/>
        </w:rPr>
      </w:pPr>
      <w:r w:rsidRPr="00886C98">
        <w:rPr>
          <w:lang w:val="cs-CZ"/>
        </w:rPr>
        <w:t xml:space="preserve">Údaje o vedoucím organizační složky </w:t>
      </w:r>
    </w:p>
    <w:p w14:paraId="1D7A3339" w14:textId="77777777" w:rsidR="00886C98" w:rsidRPr="008D34F7" w:rsidRDefault="00886C98" w:rsidP="00886C98">
      <w:pPr>
        <w:pStyle w:val="Heading2"/>
        <w:jc w:val="both"/>
        <w:rPr>
          <w:rFonts w:ascii="HelveticaNeueLT Com 55 Roman" w:eastAsiaTheme="minorEastAsia" w:hAnsi="HelveticaNeueLT Com 55 Roman" w:cstheme="minorBidi"/>
          <w:b/>
          <w:bCs/>
          <w:color w:val="auto"/>
          <w:sz w:val="16"/>
          <w:szCs w:val="24"/>
          <w:lang w:val="cs-CZ"/>
        </w:rPr>
      </w:pPr>
      <w:r w:rsidRPr="008D34F7">
        <w:rPr>
          <w:rFonts w:ascii="HelveticaNeueLT Com 55 Roman" w:eastAsiaTheme="minorEastAsia" w:hAnsi="HelveticaNeueLT Com 55 Roman" w:cstheme="minorBidi"/>
          <w:b/>
          <w:bCs/>
          <w:color w:val="auto"/>
          <w:sz w:val="16"/>
          <w:szCs w:val="24"/>
          <w:lang w:val="cs-CZ"/>
        </w:rPr>
        <w:t xml:space="preserve">Ing. Jonáš Mlýnek </w:t>
      </w:r>
    </w:p>
    <w:p w14:paraId="740BCD92" w14:textId="1B418347" w:rsidR="00886C98" w:rsidRPr="00886C98" w:rsidRDefault="00886C98" w:rsidP="00886C98">
      <w:pPr>
        <w:ind w:left="-5"/>
        <w:jc w:val="both"/>
        <w:rPr>
          <w:lang w:val="cs-CZ"/>
        </w:rPr>
      </w:pPr>
      <w:r w:rsidRPr="00886C98">
        <w:rPr>
          <w:lang w:val="cs-CZ"/>
        </w:rPr>
        <w:t xml:space="preserve">Funkci Vedoucího organizační složky vykonává </w:t>
      </w:r>
      <w:r w:rsidR="00A83067">
        <w:rPr>
          <w:lang w:val="cs-CZ"/>
        </w:rPr>
        <w:t xml:space="preserve">p. </w:t>
      </w:r>
      <w:r w:rsidRPr="00886C98">
        <w:rPr>
          <w:lang w:val="cs-CZ"/>
        </w:rPr>
        <w:t xml:space="preserve">Jonáš Mlýnek od 1.11.2013. Od roku 2012 působil v Lynx B.V., organizační složka na pozici Account Manager. Do roku 2013 působil jako Marketing Manager. Jonáš Mlýnek vystudoval Vysokou školu ekonomickou v Praze a úspěšně složil zkoušku CFA Level 1. </w:t>
      </w:r>
    </w:p>
    <w:p w14:paraId="03DA5F44" w14:textId="77777777" w:rsidR="00886C98" w:rsidRPr="00886C98" w:rsidRDefault="00886C98" w:rsidP="00886C98">
      <w:pPr>
        <w:spacing w:after="150" w:line="259" w:lineRule="auto"/>
        <w:ind w:left="8"/>
        <w:jc w:val="both"/>
        <w:rPr>
          <w:lang w:val="cs-CZ"/>
        </w:rPr>
      </w:pPr>
      <w:r w:rsidRPr="00886C98">
        <w:rPr>
          <w:lang w:val="cs-CZ"/>
        </w:rPr>
        <w:t xml:space="preserve"> </w:t>
      </w:r>
    </w:p>
    <w:p w14:paraId="6B8565AE" w14:textId="77777777" w:rsidR="00886C98" w:rsidRPr="00886C98" w:rsidRDefault="00886C98" w:rsidP="00886C98">
      <w:pPr>
        <w:pStyle w:val="Heading1"/>
        <w:ind w:left="-5"/>
        <w:jc w:val="both"/>
        <w:rPr>
          <w:lang w:val="cs-CZ"/>
        </w:rPr>
      </w:pPr>
      <w:r w:rsidRPr="00886C98">
        <w:rPr>
          <w:lang w:val="cs-CZ"/>
        </w:rPr>
        <w:lastRenderedPageBreak/>
        <w:t xml:space="preserve">Činnosti Lynx B.V., organizační složka </w:t>
      </w:r>
    </w:p>
    <w:p w14:paraId="779AA3F7" w14:textId="10269CB4" w:rsidR="00886C98" w:rsidRPr="00886C98" w:rsidRDefault="00886C98" w:rsidP="00886C98">
      <w:pPr>
        <w:spacing w:after="131"/>
        <w:ind w:left="-5"/>
        <w:jc w:val="both"/>
        <w:rPr>
          <w:lang w:val="cs-CZ"/>
        </w:rPr>
      </w:pPr>
      <w:r w:rsidRPr="00886C98">
        <w:rPr>
          <w:lang w:val="cs-CZ"/>
        </w:rPr>
        <w:t xml:space="preserve">Společnost Lynx B.V. je jako zahraniční osoba, která má sídlo v jiném členském státě Evropské unie a povolení orgánu dohledu tohoto státu k poskytování investičních služeb, podle § 24 odst. 1 </w:t>
      </w:r>
      <w:r w:rsidR="009E2381">
        <w:rPr>
          <w:lang w:val="cs-CZ"/>
        </w:rPr>
        <w:t>ZPKT</w:t>
      </w:r>
      <w:r w:rsidR="007F6AB5">
        <w:rPr>
          <w:lang w:val="cs-CZ"/>
        </w:rPr>
        <w:t xml:space="preserve"> </w:t>
      </w:r>
      <w:r w:rsidRPr="00886C98">
        <w:rPr>
          <w:lang w:val="cs-CZ"/>
        </w:rPr>
        <w:t xml:space="preserve">oprávněna poskytovat investiční služby v České republice prostřednictvím organizační složky v následujícím rozsahu: </w:t>
      </w:r>
    </w:p>
    <w:p w14:paraId="195DAB43" w14:textId="44510293" w:rsidR="00886C98" w:rsidRPr="008D34F7" w:rsidRDefault="00886C98" w:rsidP="00B05439">
      <w:pPr>
        <w:numPr>
          <w:ilvl w:val="0"/>
          <w:numId w:val="16"/>
        </w:numPr>
        <w:spacing w:after="20" w:line="250" w:lineRule="auto"/>
        <w:ind w:left="680" w:hanging="338"/>
        <w:jc w:val="both"/>
        <w:rPr>
          <w:lang w:val="cs-CZ"/>
        </w:rPr>
      </w:pPr>
      <w:r w:rsidRPr="008D34F7">
        <w:rPr>
          <w:lang w:val="cs-CZ"/>
        </w:rPr>
        <w:t xml:space="preserve">Hlavní investiční službu podle § 4 odst. 2 písm. a) </w:t>
      </w:r>
      <w:r w:rsidR="007F6AB5">
        <w:rPr>
          <w:lang w:val="cs-CZ"/>
        </w:rPr>
        <w:t>ZPKT</w:t>
      </w:r>
      <w:r w:rsidRPr="008D34F7">
        <w:rPr>
          <w:lang w:val="cs-CZ"/>
        </w:rPr>
        <w:t xml:space="preserve">, </w:t>
      </w:r>
      <w:r w:rsidRPr="002C6166">
        <w:rPr>
          <w:b/>
          <w:bCs/>
          <w:lang w:val="cs-CZ"/>
        </w:rPr>
        <w:t>přijímání a předávání pokynů</w:t>
      </w:r>
      <w:r w:rsidRPr="008D34F7">
        <w:rPr>
          <w:lang w:val="cs-CZ"/>
        </w:rPr>
        <w:t xml:space="preserve"> týkajících se investičních nástrojů podle § 3 odst. 1 písm. a) téhož zákona, investiční cenné papíry, § 3 odst. 1 písm. b) téhož zákona, cenné papíry kolektivního investování, § 3 odst. 1 písm. c) téhož zákona, nástroje peněžního trhu, § 3 odst. 1 písm. d) téhož zákona, opce, futures, swapy, forwardy a jiné nástroje, jejichž hodnota se vztahuje ke kurzu nebo hodnotě cenných papírů, měnovým kurzům, úrokové míře nebo úrokovému výnosu, jakož i jiným derivátům, finančním indexům či finančním kvantitativně vyjádřeným ukazatelům, a ze kterých vyplývá právo na vypořádání v penězích nebo právo na dodání majetkové hodnoty, k níž se jejich hodnota vztahuje, § 3 odst. 1 písm. f) téhož zákona, finanční rozdílové smlouvy, § 3 odst. 1 písm. g) téhož zákona, opce, futures, swapy, forwardy a jiné nástroje, jejichž hodnota se vztahuje ke komoditám a z nichž vyplývá právo na vypořádání v penězích nebo právo alespoň jedné strany zvolit, zda si přeje vypořádání v penězích, není-li využití tohoto práva odvislé od platební neschopnosti nebo jiné obdobné nemožnosti plnění, § 3 odst. 1 písm. h) téhož zákona, opce, futures, swapy a jiné nástroje, jejichž hodnota se vztahuje ke komoditám a z nichž vyplývá právo na dodání této komodity, a se kterými se obchoduje na evropském regulovaném trhu nebo v mnohostranném obchodním systému provozovaném osobou se sídlem v členském státě Evropské unie, § 3 odst. 1 písm. i) téhož zákona, opce, futures, swapy, forwardy a jiné nástroje, jejichž hodnota se vztahuje ke komoditám a z nichž vyplývá právo na dodání této komodity, které nejsou uvedené v písmenu h), nejsou určené pro obchodní účely a mají znaky jiných derivátových investičních nástrojů; zejména jde o ty, které jsou zúčtovány a vypořádány prostřednictvím vypořádacího systému nebo je jejich součástí dohoda o výzvě k doplnění zajištění.  </w:t>
      </w:r>
    </w:p>
    <w:p w14:paraId="397FED87" w14:textId="1A992732" w:rsidR="00886C98" w:rsidRPr="00886C98" w:rsidRDefault="00886C98" w:rsidP="00886C98">
      <w:pPr>
        <w:numPr>
          <w:ilvl w:val="0"/>
          <w:numId w:val="16"/>
        </w:numPr>
        <w:spacing w:after="21" w:line="250" w:lineRule="auto"/>
        <w:ind w:hanging="338"/>
        <w:jc w:val="both"/>
        <w:rPr>
          <w:lang w:val="cs-CZ"/>
        </w:rPr>
      </w:pPr>
      <w:r w:rsidRPr="00886C98">
        <w:rPr>
          <w:lang w:val="cs-CZ"/>
        </w:rPr>
        <w:t xml:space="preserve">Hlavní investiční službu podle § 4 odst. 2 písm. b) </w:t>
      </w:r>
      <w:r w:rsidR="007F6AB5">
        <w:rPr>
          <w:lang w:val="cs-CZ"/>
        </w:rPr>
        <w:t>ZPKT</w:t>
      </w:r>
      <w:r w:rsidRPr="00886C98">
        <w:rPr>
          <w:lang w:val="cs-CZ"/>
        </w:rPr>
        <w:t xml:space="preserve">, provádění pokynů týkajících se investičních nástrojů na účet zákazníka, a to ve vztahu k investičním nástrojům podle § 3 odst. 1 písm. a), b), c), d), e), f), g), h), i), j) a k) téhož zákona. </w:t>
      </w:r>
    </w:p>
    <w:p w14:paraId="7BC829C2" w14:textId="59232382" w:rsidR="00886C98" w:rsidRPr="00886C98" w:rsidRDefault="00886C98" w:rsidP="00886C98">
      <w:pPr>
        <w:numPr>
          <w:ilvl w:val="0"/>
          <w:numId w:val="16"/>
        </w:numPr>
        <w:spacing w:after="106" w:line="250" w:lineRule="auto"/>
        <w:ind w:hanging="338"/>
        <w:jc w:val="both"/>
        <w:rPr>
          <w:lang w:val="cs-CZ"/>
        </w:rPr>
      </w:pPr>
      <w:r w:rsidRPr="00886C98">
        <w:rPr>
          <w:lang w:val="cs-CZ"/>
        </w:rPr>
        <w:t xml:space="preserve">Hlavní investiční službu podle § 4 odst. 2 písm. e) </w:t>
      </w:r>
      <w:r w:rsidR="007F6AB5">
        <w:rPr>
          <w:lang w:val="cs-CZ"/>
        </w:rPr>
        <w:t>ZPKT</w:t>
      </w:r>
      <w:r w:rsidRPr="00886C98">
        <w:rPr>
          <w:lang w:val="cs-CZ"/>
        </w:rPr>
        <w:t xml:space="preserve">, investiční poradenství týkající se investičních nástrojů, a to ve vztahu k investičním nástrojům podle § 3 odst. 1 písm. a), b), c), d), e), f), g), h), i), j) a k) téhož zákona.  </w:t>
      </w:r>
    </w:p>
    <w:p w14:paraId="48F6EFE3" w14:textId="77777777" w:rsidR="00886C98" w:rsidRPr="00886C98" w:rsidRDefault="00886C98" w:rsidP="00886C98">
      <w:pPr>
        <w:ind w:left="-5"/>
        <w:jc w:val="both"/>
        <w:rPr>
          <w:lang w:val="cs-CZ"/>
        </w:rPr>
      </w:pPr>
      <w:r w:rsidRPr="00886C98">
        <w:rPr>
          <w:lang w:val="cs-CZ"/>
        </w:rPr>
        <w:t xml:space="preserve">Lynx B.V., organizační složka získal tato oprávnění k činnosti 28.8.2013. </w:t>
      </w:r>
    </w:p>
    <w:p w14:paraId="445DAD68" w14:textId="77777777" w:rsidR="00886C98" w:rsidRPr="00886C98" w:rsidRDefault="00886C98" w:rsidP="00886C98">
      <w:pPr>
        <w:spacing w:after="151" w:line="259" w:lineRule="auto"/>
        <w:jc w:val="both"/>
        <w:rPr>
          <w:lang w:val="cs-CZ"/>
        </w:rPr>
      </w:pPr>
      <w:r w:rsidRPr="00886C98">
        <w:rPr>
          <w:lang w:val="cs-CZ"/>
        </w:rPr>
        <w:t xml:space="preserve"> </w:t>
      </w:r>
    </w:p>
    <w:p w14:paraId="58D255BB" w14:textId="77777777" w:rsidR="00886C98" w:rsidRPr="00886C98" w:rsidRDefault="00886C98" w:rsidP="00886C98">
      <w:pPr>
        <w:pStyle w:val="Heading1"/>
        <w:ind w:left="-5"/>
        <w:jc w:val="both"/>
        <w:rPr>
          <w:lang w:val="cs-CZ"/>
        </w:rPr>
      </w:pPr>
      <w:r w:rsidRPr="00886C98">
        <w:rPr>
          <w:lang w:val="cs-CZ"/>
        </w:rPr>
        <w:t xml:space="preserve">Přehled činností skutečně vykonávaných </w:t>
      </w:r>
    </w:p>
    <w:p w14:paraId="143C9948" w14:textId="77777777" w:rsidR="007470EE" w:rsidRDefault="007470EE" w:rsidP="007470EE">
      <w:pPr>
        <w:jc w:val="both"/>
        <w:rPr>
          <w:lang w:val="cs-CZ"/>
        </w:rPr>
      </w:pPr>
      <w:r w:rsidRPr="00886C98">
        <w:rPr>
          <w:lang w:val="cs-CZ"/>
        </w:rPr>
        <w:t xml:space="preserve">Lynx B.V., organizační složka působí na českém trhu pouze jako </w:t>
      </w:r>
      <w:r w:rsidRPr="00490B8C">
        <w:rPr>
          <w:b/>
          <w:bCs/>
          <w:lang w:val="cs-CZ"/>
        </w:rPr>
        <w:t>introducing broker</w:t>
      </w:r>
      <w:r>
        <w:rPr>
          <w:lang w:val="cs-CZ"/>
        </w:rPr>
        <w:t>.</w:t>
      </w:r>
    </w:p>
    <w:p w14:paraId="374713C9" w14:textId="77777777" w:rsidR="00886C98" w:rsidRPr="00886C98" w:rsidRDefault="00886C98" w:rsidP="00886C98">
      <w:pPr>
        <w:ind w:left="-5"/>
        <w:jc w:val="both"/>
        <w:rPr>
          <w:lang w:val="cs-CZ"/>
        </w:rPr>
      </w:pPr>
    </w:p>
    <w:p w14:paraId="2E5D6D2F" w14:textId="4ACC9C66" w:rsidR="007470EE" w:rsidRDefault="007470EE" w:rsidP="007470EE">
      <w:pPr>
        <w:jc w:val="both"/>
        <w:rPr>
          <w:lang w:val="cs-CZ"/>
        </w:rPr>
      </w:pPr>
      <w:r>
        <w:rPr>
          <w:noProof/>
        </w:rPr>
        <w:drawing>
          <wp:inline distT="0" distB="0" distL="0" distR="0" wp14:anchorId="2698D50A" wp14:editId="0EB43ACB">
            <wp:extent cx="289560" cy="26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451" cy="2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0EE">
        <w:rPr>
          <w:b/>
          <w:bCs/>
          <w:lang w:val="cs-CZ"/>
        </w:rPr>
        <w:t xml:space="preserve">Vysvětlení a Informace pro </w:t>
      </w:r>
      <w:r w:rsidRPr="007470EE">
        <w:rPr>
          <w:b/>
          <w:bCs/>
          <w:lang w:val="cs-CZ"/>
        </w:rPr>
        <w:t>klienta</w:t>
      </w:r>
      <w:r w:rsidRPr="007470EE">
        <w:rPr>
          <w:lang w:val="cs-CZ"/>
        </w:rPr>
        <w:t xml:space="preserve"> (spotřebitele</w:t>
      </w:r>
      <w:r w:rsidRPr="007470EE">
        <w:rPr>
          <w:lang w:val="cs-CZ"/>
        </w:rPr>
        <w:t xml:space="preserve">, zákazníka, investora etc.): </w:t>
      </w:r>
    </w:p>
    <w:p w14:paraId="5609A970" w14:textId="2CFE4025" w:rsidR="007470EE" w:rsidRDefault="007470EE" w:rsidP="007470EE">
      <w:pPr>
        <w:jc w:val="both"/>
        <w:rPr>
          <w:lang w:val="cs-CZ"/>
        </w:rPr>
      </w:pPr>
      <w:r w:rsidRPr="007470EE">
        <w:rPr>
          <w:lang w:val="cs-CZ"/>
        </w:rPr>
        <w:t xml:space="preserve">Mateřskou společností je: LYNX B.V., Herengracht 527, 1017 BV Amsterdam, Nizozemské království. </w:t>
      </w:r>
    </w:p>
    <w:p w14:paraId="57C11AF7" w14:textId="5C586A7D" w:rsidR="007470EE" w:rsidRDefault="00B82F48" w:rsidP="007470EE">
      <w:pPr>
        <w:jc w:val="both"/>
        <w:rPr>
          <w:lang w:val="cs-CZ"/>
        </w:rPr>
      </w:pPr>
      <w:r>
        <w:rPr>
          <w:lang w:val="cs-CZ"/>
        </w:rPr>
        <w:t xml:space="preserve">LYNX B.V., organizační složka (dále jen „LYNX“) </w:t>
      </w:r>
      <w:r w:rsidR="007470EE" w:rsidRPr="007470EE">
        <w:rPr>
          <w:lang w:val="cs-CZ"/>
        </w:rPr>
        <w:t xml:space="preserve">je organizační složkou a je povinna bezvýhradně plnit a dbát všech schválených nařízení a vnitřních předpisů mateřské společnosti LYNX B.V. se sídlem v Nizozemí, které vychází předpisů Evropské unie (např. MiFID II, AML, GDPR, ochrana spotřebitele) a také z vnitrostátních nizozemských právních předpisů. </w:t>
      </w:r>
    </w:p>
    <w:p w14:paraId="43303F6E" w14:textId="77777777" w:rsidR="007470EE" w:rsidRDefault="007470EE" w:rsidP="007470EE">
      <w:pPr>
        <w:jc w:val="both"/>
        <w:rPr>
          <w:lang w:val="cs-CZ"/>
        </w:rPr>
      </w:pPr>
    </w:p>
    <w:p w14:paraId="68AE5321" w14:textId="636443C4" w:rsidR="007470EE" w:rsidRDefault="00B82F48" w:rsidP="007470EE">
      <w:pPr>
        <w:jc w:val="both"/>
        <w:rPr>
          <w:lang w:val="cs-CZ"/>
        </w:rPr>
      </w:pPr>
      <w:r>
        <w:rPr>
          <w:lang w:val="cs-CZ"/>
        </w:rPr>
        <w:t>LYNX</w:t>
      </w:r>
      <w:r w:rsidR="007470EE">
        <w:rPr>
          <w:lang w:val="cs-CZ"/>
        </w:rPr>
        <w:t xml:space="preserve"> je </w:t>
      </w:r>
      <w:r w:rsidR="007470EE" w:rsidRPr="007470EE">
        <w:rPr>
          <w:lang w:val="cs-CZ"/>
        </w:rPr>
        <w:t xml:space="preserve">tzv. „AML povinná osoba“ dle § 2 odst. 1, písm. b) bod 3 AML zákona (tj. zákon č. 253/2008 Sb., zákon o některých opatřeních proti legalizaci výnosů z trestné činnosti a financování terorismu), a proto má od Vás povinnost získávat doklady/informace potřebné k AML vyhodnocení a stanovení individuálního rizikového profilu. </w:t>
      </w:r>
    </w:p>
    <w:p w14:paraId="6AFBE65C" w14:textId="77777777" w:rsidR="007470EE" w:rsidRDefault="007470EE" w:rsidP="007470EE">
      <w:pPr>
        <w:jc w:val="both"/>
        <w:rPr>
          <w:lang w:val="cs-CZ"/>
        </w:rPr>
      </w:pPr>
    </w:p>
    <w:p w14:paraId="613FA506" w14:textId="02B814A0" w:rsidR="007470EE" w:rsidRDefault="007470EE" w:rsidP="007470EE">
      <w:pPr>
        <w:jc w:val="both"/>
        <w:rPr>
          <w:lang w:val="cs-CZ"/>
        </w:rPr>
      </w:pPr>
      <w:r w:rsidRPr="007470EE">
        <w:rPr>
          <w:lang w:val="cs-CZ"/>
        </w:rPr>
        <w:t xml:space="preserve">LYNX musí také mj. postupovat v souladu se </w:t>
      </w:r>
      <w:r w:rsidRPr="007470EE">
        <w:rPr>
          <w:lang w:val="cs-CZ"/>
        </w:rPr>
        <w:t>ZPKT (</w:t>
      </w:r>
      <w:r w:rsidRPr="007470EE">
        <w:rPr>
          <w:lang w:val="cs-CZ"/>
        </w:rPr>
        <w:t xml:space="preserve">tj. zákon č. 256/2004 Sb., zákon o podnikání na kapitálovém trhu), a proto od Vás vyžaduje a vyhodnocuje informace/dokumenty, které jsou pro naplnění zákona nezbytné; LYNX je povinně uchovává, vč. záznamů veškeré komunikace (elektronické, telefonické). </w:t>
      </w:r>
    </w:p>
    <w:p w14:paraId="6DCB8DAC" w14:textId="77777777" w:rsidR="007470EE" w:rsidRDefault="007470EE" w:rsidP="007470EE">
      <w:pPr>
        <w:jc w:val="both"/>
        <w:rPr>
          <w:lang w:val="cs-CZ"/>
        </w:rPr>
      </w:pPr>
    </w:p>
    <w:p w14:paraId="635EBA50" w14:textId="61AABAC2" w:rsidR="007470EE" w:rsidRDefault="007470EE" w:rsidP="007470EE">
      <w:pPr>
        <w:jc w:val="both"/>
        <w:rPr>
          <w:lang w:val="cs-CZ"/>
        </w:rPr>
      </w:pPr>
      <w:r w:rsidRPr="007470EE">
        <w:rPr>
          <w:lang w:val="cs-CZ"/>
        </w:rPr>
        <w:t xml:space="preserve">LYNX poskytuje klientům tzv. </w:t>
      </w:r>
      <w:r w:rsidRPr="007470EE">
        <w:rPr>
          <w:b/>
          <w:bCs/>
          <w:lang w:val="cs-CZ"/>
        </w:rPr>
        <w:t>smlouvy o finančních službách uzavírané na dálku</w:t>
      </w:r>
      <w:r w:rsidRPr="007470EE">
        <w:rPr>
          <w:lang w:val="cs-CZ"/>
        </w:rPr>
        <w:t xml:space="preserve">, a to v souladu s ust. § 1841 až 1851 zákona č. 89/2012 Sb., občanského zákoníku. Potvrzením, odesláním a odsouhlasením všech požadovaných LYNX i IB dokumentů, vč. příloh je smlouva uzavřena. Jako klient máte právo od smlouvy odstoupit ve </w:t>
      </w:r>
      <w:r w:rsidRPr="007470EE">
        <w:rPr>
          <w:b/>
          <w:bCs/>
          <w:lang w:val="cs-CZ"/>
        </w:rPr>
        <w:t>lhůtě 14 dnů</w:t>
      </w:r>
      <w:r w:rsidRPr="007470EE">
        <w:rPr>
          <w:lang w:val="cs-CZ"/>
        </w:rPr>
        <w:t xml:space="preserve"> od jejího uzavření. </w:t>
      </w:r>
    </w:p>
    <w:p w14:paraId="0FF71065" w14:textId="77777777" w:rsidR="007470EE" w:rsidRPr="007470EE" w:rsidRDefault="007470EE" w:rsidP="007470EE">
      <w:pPr>
        <w:jc w:val="both"/>
        <w:rPr>
          <w:lang w:val="cs-CZ"/>
        </w:rPr>
      </w:pPr>
    </w:p>
    <w:p w14:paraId="096F4CE6" w14:textId="77777777" w:rsidR="007470EE" w:rsidRDefault="007470EE" w:rsidP="007470EE">
      <w:pPr>
        <w:jc w:val="both"/>
        <w:rPr>
          <w:lang w:val="cs-CZ"/>
        </w:rPr>
      </w:pPr>
      <w:r w:rsidRPr="007470EE">
        <w:rPr>
          <w:lang w:val="cs-CZ"/>
        </w:rPr>
        <w:t xml:space="preserve">LYNX má uděleno příslušné povolení na poskytování investičních služeb Českou národní bankou, se sídlem Na Příkopě 28, 115 03 Praha, ČR, </w:t>
      </w:r>
      <w:hyperlink r:id="rId12" w:history="1">
        <w:r w:rsidRPr="000546A5">
          <w:rPr>
            <w:rStyle w:val="Hyperlink"/>
            <w:lang w:val="cs-CZ"/>
          </w:rPr>
          <w:t>www.cnb.cz</w:t>
        </w:r>
      </w:hyperlink>
      <w:r w:rsidRPr="007470EE">
        <w:rPr>
          <w:lang w:val="cs-CZ"/>
        </w:rPr>
        <w:t xml:space="preserve">, dle ZPKT, hlavní investiční služby uvedené v ust. § 4 odst. 2, písm. a), b), e); LYNX má tedy licenci na přijímání a předávání pokynů týkajících se investičních nástrojů specifikovaných v § 3 odst. 1, písm. a), b), c), d), f), g), h) a i) ZPKT, provádění pokynů týkajících se investičních nástrojů na účet klienta (zákazníka) ke všem typům investičních nástrojů a investiční poradenství týkající se všech typů investičních nástrojů. </w:t>
      </w:r>
    </w:p>
    <w:p w14:paraId="439589A1" w14:textId="77777777" w:rsidR="007470EE" w:rsidRDefault="007470EE" w:rsidP="007470EE">
      <w:pPr>
        <w:jc w:val="both"/>
        <w:rPr>
          <w:lang w:val="cs-CZ"/>
        </w:rPr>
      </w:pPr>
    </w:p>
    <w:p w14:paraId="441E83BA" w14:textId="5CC14604" w:rsidR="007470EE" w:rsidRDefault="007470EE" w:rsidP="007470EE">
      <w:pPr>
        <w:jc w:val="both"/>
        <w:rPr>
          <w:lang w:val="cs-CZ"/>
        </w:rPr>
      </w:pPr>
      <w:r w:rsidRPr="007470EE">
        <w:rPr>
          <w:b/>
          <w:bCs/>
          <w:lang w:val="cs-CZ"/>
        </w:rPr>
        <w:t>LYNX se rozhodl neposkytovat investiční službu investiční poradenství</w:t>
      </w:r>
      <w:r w:rsidRPr="007470EE">
        <w:rPr>
          <w:lang w:val="cs-CZ"/>
        </w:rPr>
        <w:t xml:space="preserve">, dle ust. § 4 odst. 2 písm. e) ZPKT týkající se všech typů investičních nástrojů; LYNX má dále licenci na doplňkové investiční služby (§ 4 odst. 3 písm. d).  </w:t>
      </w:r>
    </w:p>
    <w:p w14:paraId="7DA7FC43" w14:textId="77777777" w:rsidR="007470EE" w:rsidRPr="007470EE" w:rsidRDefault="007470EE" w:rsidP="007470EE">
      <w:pPr>
        <w:jc w:val="both"/>
        <w:rPr>
          <w:lang w:val="cs-CZ"/>
        </w:rPr>
      </w:pPr>
    </w:p>
    <w:p w14:paraId="61B0494A" w14:textId="5ACDC120" w:rsidR="007470EE" w:rsidRDefault="007470EE" w:rsidP="007470EE">
      <w:pPr>
        <w:jc w:val="both"/>
        <w:rPr>
          <w:lang w:val="cs-CZ"/>
        </w:rPr>
      </w:pPr>
      <w:r w:rsidRPr="007470EE">
        <w:rPr>
          <w:lang w:val="cs-CZ"/>
        </w:rPr>
        <w:lastRenderedPageBreak/>
        <w:t xml:space="preserve">Přijímání pobídek umožňuje LYNX poskytovat klientovi kvalitnější služby oproti situaci, kdy by tyto pobídky nepřijímal. Za kvalitnější služby je považováno zejména usnadnění zadávání pokynů k nákupu či prodeji finančního nástroje ze strany klienta a poskytování aktuálních informací a analýz o kapitálových trzích; LYNX zároveň prohlašuje, že hrazení pobídek ze strany klienta nikterak neovlivňuje jednání LYNX, jenž je vždy v nejlepším zájmu klienta a s odbornou péčí. </w:t>
      </w:r>
    </w:p>
    <w:p w14:paraId="2276C816" w14:textId="77777777" w:rsidR="007470EE" w:rsidRPr="007470EE" w:rsidRDefault="007470EE" w:rsidP="007470EE">
      <w:pPr>
        <w:jc w:val="both"/>
        <w:rPr>
          <w:lang w:val="cs-CZ"/>
        </w:rPr>
      </w:pPr>
    </w:p>
    <w:p w14:paraId="4B0F1D1B" w14:textId="62B74C10" w:rsidR="007470EE" w:rsidRPr="007A7CC5" w:rsidRDefault="007470EE" w:rsidP="007470EE">
      <w:pPr>
        <w:jc w:val="both"/>
        <w:rPr>
          <w:i/>
          <w:iCs/>
          <w:lang w:val="cs-CZ"/>
        </w:rPr>
      </w:pPr>
      <w:r w:rsidRPr="007470EE">
        <w:rPr>
          <w:b/>
          <w:bCs/>
          <w:lang w:val="cs-CZ"/>
        </w:rPr>
        <w:t>LYNX neobhospodařuje majetek pro klienty; zajišťuje před-akceptaci klientů a otevření majetkového účtu (dále jen „účtu“) u společnosti Interactive Brokers Ireland Limited, na jejíž platformě klienti bez jakéhokoli zásahu LYNX obchodují</w:t>
      </w:r>
      <w:r w:rsidRPr="007470EE">
        <w:rPr>
          <w:lang w:val="cs-CZ"/>
        </w:rPr>
        <w:t xml:space="preserve"> </w:t>
      </w:r>
      <w:r w:rsidR="007A7CC5" w:rsidRPr="007A7CC5">
        <w:rPr>
          <w:i/>
          <w:iCs/>
          <w:lang w:val="cs-CZ"/>
        </w:rPr>
        <w:t>(</w:t>
      </w:r>
      <w:r w:rsidR="00B82F48" w:rsidRPr="007A7CC5">
        <w:rPr>
          <w:i/>
          <w:iCs/>
          <w:lang w:val="cs-CZ"/>
        </w:rPr>
        <w:t xml:space="preserve">LYNX </w:t>
      </w:r>
      <w:r w:rsidR="007A7CC5" w:rsidRPr="007A7CC5">
        <w:rPr>
          <w:i/>
          <w:iCs/>
          <w:lang w:val="cs-CZ"/>
        </w:rPr>
        <w:t xml:space="preserve">pouze </w:t>
      </w:r>
      <w:r w:rsidR="00B82F48" w:rsidRPr="007A7CC5">
        <w:rPr>
          <w:i/>
          <w:iCs/>
          <w:lang w:val="cs-CZ"/>
        </w:rPr>
        <w:t>předává a přijímá pokyny klientů</w:t>
      </w:r>
      <w:r w:rsidR="007A7CC5" w:rsidRPr="007A7CC5">
        <w:rPr>
          <w:i/>
          <w:iCs/>
          <w:lang w:val="cs-CZ"/>
        </w:rPr>
        <w:t>)</w:t>
      </w:r>
      <w:r w:rsidR="00B82F48" w:rsidRPr="007A7CC5">
        <w:rPr>
          <w:i/>
          <w:iCs/>
          <w:lang w:val="cs-CZ"/>
        </w:rPr>
        <w:t>.</w:t>
      </w:r>
    </w:p>
    <w:p w14:paraId="2F060B87" w14:textId="77777777" w:rsidR="007470EE" w:rsidRDefault="007470EE" w:rsidP="007470EE">
      <w:pPr>
        <w:jc w:val="both"/>
        <w:rPr>
          <w:lang w:val="cs-CZ"/>
        </w:rPr>
      </w:pPr>
    </w:p>
    <w:p w14:paraId="181AA1E9" w14:textId="2184099F" w:rsidR="00226C83" w:rsidRDefault="007470EE" w:rsidP="007470EE">
      <w:pPr>
        <w:jc w:val="both"/>
        <w:rPr>
          <w:lang w:val="cs-CZ"/>
        </w:rPr>
      </w:pPr>
      <w:r w:rsidRPr="007470EE">
        <w:rPr>
          <w:lang w:val="cs-CZ"/>
        </w:rPr>
        <w:t>Pro naplnění právních předpisů má LYNX představenstvem LYNX B.V. schválená a implementována různá vnitřní pravidla, např. Etický kodex, AML/CDD politiku, tj. prevence praní špinavých peněz/financování terorismu, pravidla k ochraně spotřebitele, ochraně investora a ochraně osobních údajů , pravidla pro monitoring transakcí klientů i zaměstnanců, má dále implementovánu povinnou mlčenlivost pro zaměstnance LYNX, pravidla k předcházení střetům zájmů atp.; v neposlední řadě LYNX má implementovánu kontrolní funkci (např. Compliance aj.).</w:t>
      </w:r>
    </w:p>
    <w:p w14:paraId="3A091D4E" w14:textId="0AB61D4B" w:rsidR="007A7CC5" w:rsidRDefault="007A7CC5" w:rsidP="007470EE">
      <w:pPr>
        <w:jc w:val="both"/>
        <w:rPr>
          <w:lang w:val="cs-CZ"/>
        </w:rPr>
      </w:pPr>
    </w:p>
    <w:p w14:paraId="76CC5A56" w14:textId="4C6CA02C" w:rsidR="007A7CC5" w:rsidRDefault="007A7CC5" w:rsidP="007470EE">
      <w:pPr>
        <w:jc w:val="both"/>
        <w:rPr>
          <w:lang w:val="cs-CZ"/>
        </w:rPr>
      </w:pPr>
      <w:r w:rsidRPr="007A7CC5">
        <w:rPr>
          <w:b/>
          <w:bCs/>
          <w:lang w:val="cs-CZ"/>
        </w:rPr>
        <w:t>Brexit a migrace účtu:</w:t>
      </w:r>
      <w:r>
        <w:rPr>
          <w:lang w:val="cs-CZ"/>
        </w:rPr>
        <w:t xml:space="preserve"> </w:t>
      </w:r>
      <w:r w:rsidRPr="007A7CC5">
        <w:rPr>
          <w:lang w:val="cs-CZ"/>
        </w:rPr>
        <w:t>transparentně zveřejňuje</w:t>
      </w:r>
      <w:r>
        <w:rPr>
          <w:lang w:val="cs-CZ"/>
        </w:rPr>
        <w:t>me</w:t>
      </w:r>
      <w:r w:rsidRPr="007A7CC5">
        <w:rPr>
          <w:lang w:val="cs-CZ"/>
        </w:rPr>
        <w:t xml:space="preserve"> všechny nezbytné informace k Brexit a procesu migrace účtu na EU Interactive Brokers entitu zde: </w:t>
      </w:r>
      <w:hyperlink r:id="rId13" w:history="1">
        <w:r w:rsidRPr="000546A5">
          <w:rPr>
            <w:rStyle w:val="Hyperlink"/>
            <w:lang w:val="cs-CZ"/>
          </w:rPr>
          <w:t>https://www.lynxbroker.cz/brexit-migrace-ibie/</w:t>
        </w:r>
      </w:hyperlink>
      <w:r w:rsidRPr="007A7CC5">
        <w:rPr>
          <w:lang w:val="cs-CZ"/>
        </w:rPr>
        <w:t>;</w:t>
      </w:r>
      <w:r>
        <w:rPr>
          <w:lang w:val="cs-CZ"/>
        </w:rPr>
        <w:t xml:space="preserve"> </w:t>
      </w:r>
      <w:r w:rsidRPr="007A7CC5">
        <w:rPr>
          <w:lang w:val="cs-CZ"/>
        </w:rPr>
        <w:t xml:space="preserve">Bližší informace k legislativním povinnostem, které jsou na LYNX kladeny a další užitečná informační memoranda naleznete na našich webových stránkách </w:t>
      </w:r>
      <w:hyperlink r:id="rId14" w:history="1">
        <w:r w:rsidRPr="000546A5">
          <w:rPr>
            <w:rStyle w:val="Hyperlink"/>
            <w:lang w:val="cs-CZ"/>
          </w:rPr>
          <w:t>www.lynxbroker.cz</w:t>
        </w:r>
      </w:hyperlink>
      <w:r>
        <w:rPr>
          <w:lang w:val="cs-CZ"/>
        </w:rPr>
        <w:t xml:space="preserve"> </w:t>
      </w:r>
      <w:r w:rsidRPr="007A7CC5">
        <w:rPr>
          <w:lang w:val="cs-CZ"/>
        </w:rPr>
        <w:t xml:space="preserve"> nebo také v sekci „Dokumenty“ zde</w:t>
      </w:r>
      <w:r>
        <w:rPr>
          <w:lang w:val="cs-CZ"/>
        </w:rPr>
        <w:t xml:space="preserve">: </w:t>
      </w:r>
      <w:hyperlink r:id="rId15" w:history="1">
        <w:r w:rsidRPr="000546A5">
          <w:rPr>
            <w:rStyle w:val="Hyperlink"/>
            <w:lang w:val="cs-CZ"/>
          </w:rPr>
          <w:t>https://www.lynxbroker.cz/dokumenty/</w:t>
        </w:r>
      </w:hyperlink>
      <w:r>
        <w:rPr>
          <w:lang w:val="cs-CZ"/>
        </w:rPr>
        <w:t>.</w:t>
      </w:r>
    </w:p>
    <w:p w14:paraId="7E49A66D" w14:textId="6A8299C2" w:rsidR="007A7CC5" w:rsidRDefault="007A7CC5" w:rsidP="007470EE">
      <w:pPr>
        <w:jc w:val="both"/>
        <w:rPr>
          <w:lang w:val="cs-CZ"/>
        </w:rPr>
      </w:pPr>
    </w:p>
    <w:p w14:paraId="2F51928D" w14:textId="2E36600F" w:rsidR="007A7CC5" w:rsidRPr="007A7CC5" w:rsidRDefault="007A7CC5" w:rsidP="007470EE">
      <w:pPr>
        <w:jc w:val="both"/>
        <w:rPr>
          <w:lang w:val="cs-CZ"/>
        </w:rPr>
      </w:pPr>
      <w:r w:rsidRPr="007A7CC5">
        <w:rPr>
          <w:b/>
          <w:bCs/>
          <w:lang w:val="cs-CZ"/>
        </w:rPr>
        <w:t>Prohlášení o ochraně osobních údajů</w:t>
      </w:r>
      <w:r w:rsidRPr="007A7CC5">
        <w:rPr>
          <w:lang w:val="cs-CZ"/>
        </w:rPr>
        <w:t xml:space="preserve"> je k dispozici zde: </w:t>
      </w:r>
      <w:hyperlink r:id="rId16" w:history="1">
        <w:r w:rsidRPr="000546A5">
          <w:rPr>
            <w:rStyle w:val="Hyperlink"/>
            <w:lang w:val="cs-CZ"/>
          </w:rPr>
          <w:t>https://www.lynxbroker.cz/ochrana-osobnich-udaju/</w:t>
        </w:r>
      </w:hyperlink>
      <w:r>
        <w:rPr>
          <w:lang w:val="cs-CZ"/>
        </w:rPr>
        <w:t xml:space="preserve"> </w:t>
      </w:r>
    </w:p>
    <w:p w14:paraId="577D0FB9" w14:textId="1258DD0D" w:rsidR="007A7CC5" w:rsidRDefault="007A7CC5" w:rsidP="007470EE">
      <w:pPr>
        <w:jc w:val="both"/>
        <w:rPr>
          <w:lang w:val="cs-CZ"/>
        </w:rPr>
      </w:pPr>
    </w:p>
    <w:p w14:paraId="27B097F4" w14:textId="77777777" w:rsidR="007A7CC5" w:rsidRDefault="007A7CC5" w:rsidP="007470EE">
      <w:pPr>
        <w:jc w:val="both"/>
        <w:rPr>
          <w:lang w:val="cs-CZ"/>
        </w:rPr>
      </w:pPr>
    </w:p>
    <w:p w14:paraId="3CEC2BCD" w14:textId="4B592C4B" w:rsidR="00BB0294" w:rsidRDefault="00BB0294" w:rsidP="00226C83">
      <w:pPr>
        <w:jc w:val="both"/>
        <w:rPr>
          <w:lang w:val="cs-CZ"/>
        </w:rPr>
      </w:pPr>
    </w:p>
    <w:p w14:paraId="37050466" w14:textId="6058D3D4" w:rsidR="00BB0294" w:rsidRDefault="00BB0294" w:rsidP="00226C83">
      <w:pPr>
        <w:jc w:val="both"/>
        <w:rPr>
          <w:b/>
          <w:bCs/>
          <w:lang w:val="cs-CZ"/>
        </w:rPr>
      </w:pPr>
      <w:r w:rsidRPr="00BB0294">
        <w:rPr>
          <w:b/>
          <w:bCs/>
          <w:lang w:val="cs-CZ"/>
        </w:rPr>
        <w:t>Tento dokument se řídí právními předpisy České republiky.</w:t>
      </w:r>
    </w:p>
    <w:p w14:paraId="7A7F81E2" w14:textId="1888AEFE" w:rsidR="00BB0294" w:rsidRPr="00226C83" w:rsidRDefault="00BB0294" w:rsidP="00226C83">
      <w:pPr>
        <w:jc w:val="both"/>
        <w:rPr>
          <w:lang w:val="cs-CZ"/>
        </w:rPr>
      </w:pPr>
      <w:r>
        <w:rPr>
          <w:lang w:val="cs-CZ"/>
        </w:rPr>
        <w:t>LYNX si vyhrazuje právo průběžné aktualizace tohoto dokumentu.</w:t>
      </w:r>
    </w:p>
    <w:p w14:paraId="3705BC73" w14:textId="52E78D0A" w:rsidR="00886C98" w:rsidRPr="00424260" w:rsidRDefault="00886C98" w:rsidP="00226C83">
      <w:pPr>
        <w:spacing w:after="7"/>
        <w:ind w:left="-5"/>
        <w:jc w:val="both"/>
        <w:rPr>
          <w:lang w:val="cs-CZ"/>
        </w:rPr>
      </w:pPr>
    </w:p>
    <w:p w14:paraId="3B811E43" w14:textId="77777777" w:rsidR="00424260" w:rsidRPr="00424260" w:rsidRDefault="00424260" w:rsidP="00DF3064">
      <w:pPr>
        <w:rPr>
          <w:lang w:val="cs-CZ"/>
        </w:rPr>
      </w:pPr>
    </w:p>
    <w:sectPr w:rsidR="00424260" w:rsidRPr="00424260" w:rsidSect="00E3397D">
      <w:headerReference w:type="default" r:id="rId17"/>
      <w:footerReference w:type="default" r:id="rId18"/>
      <w:pgSz w:w="11900" w:h="16840"/>
      <w:pgMar w:top="2694" w:right="2261" w:bottom="1417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A0761" w14:textId="77777777" w:rsidR="00D13F47" w:rsidRDefault="00D13F47" w:rsidP="00DB7EBC">
      <w:r>
        <w:separator/>
      </w:r>
    </w:p>
  </w:endnote>
  <w:endnote w:type="continuationSeparator" w:id="0">
    <w:p w14:paraId="442E6D63" w14:textId="77777777" w:rsidR="00D13F47" w:rsidRDefault="00D13F47" w:rsidP="00DB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Com 57 Cn">
    <w:panose1 w:val="020B0706030502030204"/>
    <w:charset w:val="00"/>
    <w:family w:val="swiss"/>
    <w:pitch w:val="variable"/>
    <w:sig w:usb0="8000008F" w:usb1="00002042" w:usb2="00000000" w:usb3="00000000" w:csb0="0000009B" w:csb1="00000000"/>
  </w:font>
  <w:font w:name="HelveticaNeueLTCom-B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7"/>
      <w:gridCol w:w="2787"/>
      <w:gridCol w:w="2788"/>
    </w:tblGrid>
    <w:tr w:rsidR="00B15BEA" w:rsidRPr="00F461A0" w14:paraId="7D155F52" w14:textId="77777777" w:rsidTr="006F5ADD">
      <w:tc>
        <w:tcPr>
          <w:tcW w:w="2787" w:type="dxa"/>
          <w:vAlign w:val="bottom"/>
        </w:tcPr>
        <w:p w14:paraId="152F221C" w14:textId="27FFE73C" w:rsidR="00B15BEA" w:rsidRPr="005B431E" w:rsidRDefault="005B431E" w:rsidP="005B431E">
          <w:pPr>
            <w:pStyle w:val="Footer"/>
            <w:rPr>
              <w:rFonts w:cs="HelveticaNeue"/>
              <w:color w:val="57585A"/>
              <w:sz w:val="14"/>
              <w:szCs w:val="14"/>
              <w:lang w:val="cs-CZ"/>
            </w:rPr>
          </w:pPr>
          <w:r w:rsidRPr="005B431E">
            <w:rPr>
              <w:rFonts w:cs="HelveticaNeue"/>
              <w:color w:val="57585A"/>
              <w:sz w:val="14"/>
              <w:szCs w:val="14"/>
              <w:lang w:val="cs-CZ"/>
            </w:rPr>
            <w:t>Klasifikace informací: veřejný dokument</w:t>
          </w:r>
        </w:p>
        <w:p w14:paraId="4C3C4352" w14:textId="77777777" w:rsidR="00B15BEA" w:rsidRPr="006F5ADD" w:rsidRDefault="00B15BEA" w:rsidP="006F5ADD">
          <w:pPr>
            <w:pStyle w:val="BasicParagraph"/>
            <w:tabs>
              <w:tab w:val="left" w:pos="240"/>
            </w:tabs>
            <w:rPr>
              <w:rFonts w:ascii="HelveticaNeueLT Com 57 Cn" w:hAnsi="HelveticaNeueLT Com 57 Cn" w:cs="HelveticaNeueLTCom-BdCn"/>
              <w:b/>
              <w:bCs/>
              <w:caps/>
              <w:color w:val="1EA12D"/>
              <w:spacing w:val="4"/>
              <w:sz w:val="14"/>
              <w:szCs w:val="14"/>
            </w:rPr>
          </w:pPr>
          <w:r w:rsidRPr="006F5ADD">
            <w:rPr>
              <w:rFonts w:ascii="HelveticaNeueLT Com 57 Cn" w:hAnsi="HelveticaNeueLT Com 57 Cn" w:cs="HelveticaNeueLTCom-BdCn"/>
              <w:b/>
              <w:bCs/>
              <w:caps/>
              <w:color w:val="1EA12D"/>
              <w:spacing w:val="4"/>
              <w:sz w:val="14"/>
              <w:szCs w:val="14"/>
            </w:rPr>
            <w:t xml:space="preserve">LYNX B.V. </w:t>
          </w:r>
        </w:p>
        <w:p w14:paraId="3EEF6EA4" w14:textId="3F415071" w:rsidR="00B15BEA" w:rsidRPr="006F5ADD" w:rsidRDefault="00E46741" w:rsidP="006F5ADD">
          <w:pPr>
            <w:pStyle w:val="BasicParagraph"/>
            <w:tabs>
              <w:tab w:val="left" w:pos="240"/>
            </w:tabs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</w:pPr>
          <w:r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  <w:t>Václavské náměstí 776/10</w:t>
          </w:r>
        </w:p>
        <w:p w14:paraId="027458DB" w14:textId="249E8A72" w:rsidR="00B15BEA" w:rsidRPr="006F5ADD" w:rsidRDefault="00D84A88" w:rsidP="00D84A88">
          <w:pPr>
            <w:pStyle w:val="Footer"/>
          </w:pPr>
          <w:r>
            <w:rPr>
              <w:rFonts w:cs="HelveticaNeue"/>
              <w:color w:val="57585A"/>
              <w:sz w:val="14"/>
              <w:szCs w:val="14"/>
            </w:rPr>
            <w:t>110 00</w:t>
          </w:r>
          <w:r w:rsidR="00B15BEA" w:rsidRPr="006F5ADD">
            <w:rPr>
              <w:rFonts w:cs="HelveticaNeue"/>
              <w:color w:val="57585A"/>
              <w:sz w:val="14"/>
              <w:szCs w:val="14"/>
            </w:rPr>
            <w:t xml:space="preserve"> </w:t>
          </w:r>
          <w:r>
            <w:rPr>
              <w:rFonts w:cs="HelveticaNeue"/>
              <w:color w:val="57585A"/>
              <w:sz w:val="14"/>
              <w:szCs w:val="14"/>
            </w:rPr>
            <w:t>Praha</w:t>
          </w:r>
        </w:p>
      </w:tc>
      <w:tc>
        <w:tcPr>
          <w:tcW w:w="2787" w:type="dxa"/>
          <w:vAlign w:val="bottom"/>
        </w:tcPr>
        <w:p w14:paraId="448183C7" w14:textId="4D480B39" w:rsidR="00B15BEA" w:rsidRPr="006F5ADD" w:rsidRDefault="00B15BEA" w:rsidP="006F5ADD">
          <w:pPr>
            <w:pStyle w:val="BasicParagraph"/>
            <w:tabs>
              <w:tab w:val="left" w:pos="240"/>
            </w:tabs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</w:pPr>
          <w:proofErr w:type="gramStart"/>
          <w:r w:rsidRPr="006F5ADD">
            <w:rPr>
              <w:rFonts w:ascii="HelveticaNeueLT Com 55 Roman" w:hAnsi="HelveticaNeueLT Com 55 Roman" w:cs="HelveticaNeueLTCom-BdCn"/>
              <w:bCs/>
              <w:caps/>
              <w:color w:val="1EA12D"/>
              <w:spacing w:val="4"/>
              <w:sz w:val="14"/>
              <w:szCs w:val="14"/>
            </w:rPr>
            <w:t>T</w:t>
          </w:r>
          <w:r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  <w:t xml:space="preserve">  </w:t>
          </w:r>
          <w:r w:rsidRPr="006F5ADD"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  <w:t>+</w:t>
          </w:r>
          <w:proofErr w:type="gramEnd"/>
          <w:r w:rsidR="007E0AD3"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  <w:t>420 234 262 500</w:t>
          </w:r>
        </w:p>
        <w:p w14:paraId="37A9484E" w14:textId="066476A1" w:rsidR="00B15BEA" w:rsidRPr="006F5ADD" w:rsidRDefault="00B15BEA" w:rsidP="007E0AD3">
          <w:pPr>
            <w:pStyle w:val="BasicParagraph"/>
            <w:tabs>
              <w:tab w:val="left" w:pos="140"/>
            </w:tabs>
            <w:rPr>
              <w:rFonts w:ascii="HelveticaNeueLT Com 55 Roman" w:hAnsi="HelveticaNeueLT Com 55 Roman"/>
            </w:rPr>
          </w:pPr>
          <w:proofErr w:type="gramStart"/>
          <w:r w:rsidRPr="006F5ADD">
            <w:rPr>
              <w:rFonts w:ascii="HelveticaNeueLT Com 55 Roman" w:hAnsi="HelveticaNeueLT Com 55 Roman" w:cs="HelveticaNeueLTCom-BdCn"/>
              <w:bCs/>
              <w:caps/>
              <w:color w:val="1EA12D"/>
              <w:spacing w:val="4"/>
              <w:sz w:val="14"/>
              <w:szCs w:val="14"/>
            </w:rPr>
            <w:t>E</w:t>
          </w:r>
          <w:r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  <w:t xml:space="preserve"> </w:t>
          </w:r>
          <w:r>
            <w:rPr>
              <w:rFonts w:ascii="Times New Roman" w:hAnsi="Times New Roman" w:cs="Times New Roman"/>
              <w:color w:val="57585A"/>
              <w:sz w:val="14"/>
              <w:szCs w:val="14"/>
            </w:rPr>
            <w:t xml:space="preserve"> </w:t>
          </w:r>
          <w:r w:rsidR="007E0AD3"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  <w:t>+</w:t>
          </w:r>
          <w:proofErr w:type="gramEnd"/>
          <w:r w:rsidR="007E0AD3"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  <w:t>420 234 262 501</w:t>
          </w:r>
        </w:p>
      </w:tc>
      <w:tc>
        <w:tcPr>
          <w:tcW w:w="2788" w:type="dxa"/>
          <w:vAlign w:val="bottom"/>
        </w:tcPr>
        <w:p w14:paraId="11381EF5" w14:textId="65DFA007" w:rsidR="008E1AF2" w:rsidRPr="006F5ADD" w:rsidRDefault="008E1AF2" w:rsidP="008E1AF2">
          <w:pPr>
            <w:pStyle w:val="BasicParagraph"/>
            <w:tabs>
              <w:tab w:val="left" w:pos="240"/>
            </w:tabs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</w:pPr>
          <w:proofErr w:type="gramStart"/>
          <w:r w:rsidRPr="006F5ADD">
            <w:rPr>
              <w:rFonts w:ascii="HelveticaNeueLT Com 55 Roman" w:hAnsi="HelveticaNeueLT Com 55 Roman" w:cs="HelveticaNeueLTCom-BdCn"/>
              <w:bCs/>
              <w:caps/>
              <w:color w:val="1EA12D"/>
              <w:spacing w:val="4"/>
              <w:sz w:val="14"/>
              <w:szCs w:val="14"/>
            </w:rPr>
            <w:t>T</w:t>
          </w:r>
          <w:r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  <w:t xml:space="preserve">  800</w:t>
          </w:r>
          <w:proofErr w:type="gramEnd"/>
          <w:r>
            <w:rPr>
              <w:rFonts w:ascii="HelveticaNeueLT Com 55 Roman" w:hAnsi="HelveticaNeueLT Com 55 Roman" w:cs="HelveticaNeue"/>
              <w:color w:val="57585A"/>
              <w:sz w:val="14"/>
              <w:szCs w:val="14"/>
            </w:rPr>
            <w:t xml:space="preserve"> 877 877 (zdarma)</w:t>
          </w:r>
        </w:p>
        <w:p w14:paraId="7447AF1A" w14:textId="769E9CA6" w:rsidR="00B15BEA" w:rsidRPr="00117AA6" w:rsidRDefault="008E1AF2" w:rsidP="008E1AF2">
          <w:pPr>
            <w:pStyle w:val="Footer"/>
            <w:rPr>
              <w:lang w:val="de-DE"/>
            </w:rPr>
          </w:pPr>
          <w:proofErr w:type="gramStart"/>
          <w:r w:rsidRPr="00117AA6">
            <w:rPr>
              <w:rFonts w:cs="HelveticaNeueLTCom-BdCn"/>
              <w:bCs/>
              <w:caps/>
              <w:color w:val="1EA12D"/>
              <w:spacing w:val="4"/>
              <w:sz w:val="14"/>
              <w:szCs w:val="14"/>
              <w:lang w:val="de-DE"/>
            </w:rPr>
            <w:t>E</w:t>
          </w:r>
          <w:r w:rsidRPr="00117AA6">
            <w:rPr>
              <w:rFonts w:cs="HelveticaNeue"/>
              <w:color w:val="57585A"/>
              <w:sz w:val="14"/>
              <w:szCs w:val="14"/>
              <w:lang w:val="de-DE"/>
            </w:rPr>
            <w:t xml:space="preserve"> </w:t>
          </w:r>
          <w:r w:rsidRPr="00117AA6">
            <w:rPr>
              <w:rFonts w:ascii="Times New Roman" w:hAnsi="Times New Roman" w:cs="Times New Roman"/>
              <w:color w:val="57585A"/>
              <w:sz w:val="14"/>
              <w:szCs w:val="14"/>
              <w:lang w:val="de-DE"/>
            </w:rPr>
            <w:t xml:space="preserve"> </w:t>
          </w:r>
          <w:r w:rsidRPr="00117AA6">
            <w:rPr>
              <w:rFonts w:cs="HelveticaNeue"/>
              <w:color w:val="57585A"/>
              <w:sz w:val="14"/>
              <w:szCs w:val="14"/>
              <w:lang w:val="de-DE"/>
            </w:rPr>
            <w:t>info@lynxbroker.cz</w:t>
          </w:r>
          <w:proofErr w:type="gramEnd"/>
        </w:p>
      </w:tc>
    </w:tr>
  </w:tbl>
  <w:p w14:paraId="37F6B5C4" w14:textId="77777777" w:rsidR="00B15BEA" w:rsidRPr="00117AA6" w:rsidRDefault="00B15BEA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ECDDC" w14:textId="77777777" w:rsidR="00D13F47" w:rsidRDefault="00D13F47" w:rsidP="00DB7EBC">
      <w:r>
        <w:separator/>
      </w:r>
    </w:p>
  </w:footnote>
  <w:footnote w:type="continuationSeparator" w:id="0">
    <w:p w14:paraId="75E96F27" w14:textId="77777777" w:rsidR="00D13F47" w:rsidRDefault="00D13F47" w:rsidP="00DB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1768C" w14:textId="618C96F2" w:rsidR="00B15BEA" w:rsidRDefault="006B5ED1">
    <w:pPr>
      <w:pStyle w:val="Header"/>
    </w:pPr>
    <w:r>
      <w:rPr>
        <w:noProof/>
        <w:lang w:val="cs-CZ" w:eastAsia="cs-CZ"/>
      </w:rPr>
      <w:drawing>
        <wp:inline distT="0" distB="0" distL="0" distR="0" wp14:anchorId="5C6CDE3E" wp14:editId="6987BD65">
          <wp:extent cx="2607140" cy="566076"/>
          <wp:effectExtent l="0" t="0" r="3175" b="5715"/>
          <wp:docPr id="1" name="Obrázek 1" descr="C:\Users\LYNX1\Dropbox\Lynx\Marketing\Mktg instruments\Logos\LYNX Investovat s výhodami\big-lynx_logo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X1\Dropbox\Lynx\Marketing\Mktg instruments\Logos\LYNX Investovat s výhodami\big-lynx_logo_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216" cy="591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1004"/>
    <w:multiLevelType w:val="hybridMultilevel"/>
    <w:tmpl w:val="37B0D614"/>
    <w:lvl w:ilvl="0" w:tplc="7EBC54A4">
      <w:start w:val="1"/>
      <w:numFmt w:val="bullet"/>
      <w:lvlText w:val=""/>
      <w:lvlJc w:val="left"/>
      <w:pPr>
        <w:ind w:left="340" w:hanging="34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4B2"/>
    <w:multiLevelType w:val="multilevel"/>
    <w:tmpl w:val="3ED24C4C"/>
    <w:lvl w:ilvl="0">
      <w:start w:val="1"/>
      <w:numFmt w:val="bullet"/>
      <w:lvlText w:val=""/>
      <w:lvlJc w:val="left"/>
      <w:pPr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233A"/>
    <w:multiLevelType w:val="hybridMultilevel"/>
    <w:tmpl w:val="CBA4D5D4"/>
    <w:lvl w:ilvl="0" w:tplc="79761A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56345"/>
    <w:multiLevelType w:val="hybridMultilevel"/>
    <w:tmpl w:val="2B640A9C"/>
    <w:lvl w:ilvl="0" w:tplc="7EBC54A4">
      <w:start w:val="1"/>
      <w:numFmt w:val="bullet"/>
      <w:lvlText w:val=""/>
      <w:lvlJc w:val="left"/>
      <w:pPr>
        <w:ind w:left="340" w:hanging="34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A1844"/>
    <w:multiLevelType w:val="hybridMultilevel"/>
    <w:tmpl w:val="1988C26E"/>
    <w:lvl w:ilvl="0" w:tplc="64546CC4">
      <w:start w:val="1"/>
      <w:numFmt w:val="bullet"/>
      <w:lvlText w:val=""/>
      <w:lvlJc w:val="left"/>
      <w:pPr>
        <w:ind w:left="284" w:hanging="114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67CB"/>
    <w:multiLevelType w:val="multilevel"/>
    <w:tmpl w:val="3FECBF02"/>
    <w:lvl w:ilvl="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A7A1E"/>
    <w:multiLevelType w:val="multilevel"/>
    <w:tmpl w:val="37B0D614"/>
    <w:lvl w:ilvl="0">
      <w:start w:val="1"/>
      <w:numFmt w:val="bullet"/>
      <w:lvlText w:val=""/>
      <w:lvlJc w:val="left"/>
      <w:pPr>
        <w:ind w:left="340" w:hanging="34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730E9"/>
    <w:multiLevelType w:val="hybridMultilevel"/>
    <w:tmpl w:val="314A38D2"/>
    <w:lvl w:ilvl="0" w:tplc="3B40795A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0809812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0DAAB6E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3BC5DF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56C1A6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2B207A0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4AC8A2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996E092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BF807C6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7635E"/>
    <w:multiLevelType w:val="hybridMultilevel"/>
    <w:tmpl w:val="C7189AA4"/>
    <w:lvl w:ilvl="0" w:tplc="6EDC91C2">
      <w:start w:val="1"/>
      <w:numFmt w:val="bullet"/>
      <w:lvlText w:val=""/>
      <w:lvlJc w:val="left"/>
      <w:pPr>
        <w:ind w:left="794" w:hanging="434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5E54"/>
    <w:multiLevelType w:val="multilevel"/>
    <w:tmpl w:val="2B640A9C"/>
    <w:lvl w:ilvl="0">
      <w:start w:val="1"/>
      <w:numFmt w:val="bullet"/>
      <w:lvlText w:val=""/>
      <w:lvlJc w:val="left"/>
      <w:pPr>
        <w:ind w:left="340" w:hanging="34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645A4"/>
    <w:multiLevelType w:val="hybridMultilevel"/>
    <w:tmpl w:val="A5C4EC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50804"/>
    <w:multiLevelType w:val="hybridMultilevel"/>
    <w:tmpl w:val="3FECBF02"/>
    <w:lvl w:ilvl="0" w:tplc="CE9CF55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67D23"/>
    <w:multiLevelType w:val="multilevel"/>
    <w:tmpl w:val="C7189AA4"/>
    <w:lvl w:ilvl="0">
      <w:start w:val="1"/>
      <w:numFmt w:val="bullet"/>
      <w:lvlText w:val=""/>
      <w:lvlJc w:val="left"/>
      <w:pPr>
        <w:ind w:left="794" w:hanging="4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62FE1"/>
    <w:multiLevelType w:val="hybridMultilevel"/>
    <w:tmpl w:val="ED321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75C86"/>
    <w:multiLevelType w:val="hybridMultilevel"/>
    <w:tmpl w:val="765C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81A35"/>
    <w:multiLevelType w:val="hybridMultilevel"/>
    <w:tmpl w:val="3ED24C4C"/>
    <w:lvl w:ilvl="0" w:tplc="7E3644BE">
      <w:start w:val="1"/>
      <w:numFmt w:val="bullet"/>
      <w:lvlText w:val=""/>
      <w:lvlJc w:val="left"/>
      <w:pPr>
        <w:ind w:left="170" w:hanging="17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5"/>
  </w:num>
  <w:num w:numId="10">
    <w:abstractNumId w:val="1"/>
  </w:num>
  <w:num w:numId="11">
    <w:abstractNumId w:val="4"/>
  </w:num>
  <w:num w:numId="12">
    <w:abstractNumId w:val="14"/>
  </w:num>
  <w:num w:numId="13">
    <w:abstractNumId w:val="10"/>
  </w:num>
  <w:num w:numId="14">
    <w:abstractNumId w:val="1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7"/>
    <w:rsid w:val="000274F9"/>
    <w:rsid w:val="000575B7"/>
    <w:rsid w:val="00084377"/>
    <w:rsid w:val="000C3548"/>
    <w:rsid w:val="000E660D"/>
    <w:rsid w:val="000E77B6"/>
    <w:rsid w:val="000F7D4B"/>
    <w:rsid w:val="00117AA6"/>
    <w:rsid w:val="0013666C"/>
    <w:rsid w:val="001A7F67"/>
    <w:rsid w:val="001D085A"/>
    <w:rsid w:val="0021545E"/>
    <w:rsid w:val="00226C83"/>
    <w:rsid w:val="00287EA5"/>
    <w:rsid w:val="00294C26"/>
    <w:rsid w:val="002A12F1"/>
    <w:rsid w:val="002A1933"/>
    <w:rsid w:val="002A56C7"/>
    <w:rsid w:val="002A6FEA"/>
    <w:rsid w:val="002C6166"/>
    <w:rsid w:val="003231F4"/>
    <w:rsid w:val="0032703A"/>
    <w:rsid w:val="00374EFC"/>
    <w:rsid w:val="003C6C66"/>
    <w:rsid w:val="003F1EDC"/>
    <w:rsid w:val="00401E6C"/>
    <w:rsid w:val="00424260"/>
    <w:rsid w:val="00450B15"/>
    <w:rsid w:val="00490B8C"/>
    <w:rsid w:val="004B7163"/>
    <w:rsid w:val="00544509"/>
    <w:rsid w:val="005B431E"/>
    <w:rsid w:val="005D6BD3"/>
    <w:rsid w:val="005E5474"/>
    <w:rsid w:val="005F5040"/>
    <w:rsid w:val="0062146E"/>
    <w:rsid w:val="00653262"/>
    <w:rsid w:val="00685713"/>
    <w:rsid w:val="006B5ED1"/>
    <w:rsid w:val="006F3857"/>
    <w:rsid w:val="006F5ADD"/>
    <w:rsid w:val="007358C0"/>
    <w:rsid w:val="0074687E"/>
    <w:rsid w:val="007470EE"/>
    <w:rsid w:val="007536BF"/>
    <w:rsid w:val="00766F9A"/>
    <w:rsid w:val="007A7CC5"/>
    <w:rsid w:val="007E0AD3"/>
    <w:rsid w:val="007F62E1"/>
    <w:rsid w:val="007F6AB5"/>
    <w:rsid w:val="00803334"/>
    <w:rsid w:val="0081786B"/>
    <w:rsid w:val="00830881"/>
    <w:rsid w:val="00847A3E"/>
    <w:rsid w:val="008660EE"/>
    <w:rsid w:val="0087036B"/>
    <w:rsid w:val="00886C98"/>
    <w:rsid w:val="008D34F7"/>
    <w:rsid w:val="008D67A1"/>
    <w:rsid w:val="008E1AF2"/>
    <w:rsid w:val="00904625"/>
    <w:rsid w:val="00947AC5"/>
    <w:rsid w:val="00964531"/>
    <w:rsid w:val="00994822"/>
    <w:rsid w:val="009B133F"/>
    <w:rsid w:val="009C22E9"/>
    <w:rsid w:val="009E2381"/>
    <w:rsid w:val="00A83067"/>
    <w:rsid w:val="00A92F6B"/>
    <w:rsid w:val="00A9480E"/>
    <w:rsid w:val="00A9591C"/>
    <w:rsid w:val="00AF658C"/>
    <w:rsid w:val="00B15BEA"/>
    <w:rsid w:val="00B82BE3"/>
    <w:rsid w:val="00B82F48"/>
    <w:rsid w:val="00BB0294"/>
    <w:rsid w:val="00BE45CF"/>
    <w:rsid w:val="00C62E74"/>
    <w:rsid w:val="00C76F4E"/>
    <w:rsid w:val="00CB2919"/>
    <w:rsid w:val="00D13F47"/>
    <w:rsid w:val="00D5019F"/>
    <w:rsid w:val="00D6589B"/>
    <w:rsid w:val="00D84A1B"/>
    <w:rsid w:val="00D84A88"/>
    <w:rsid w:val="00DB7EBC"/>
    <w:rsid w:val="00DC4969"/>
    <w:rsid w:val="00DD752E"/>
    <w:rsid w:val="00DF3064"/>
    <w:rsid w:val="00E307DD"/>
    <w:rsid w:val="00E3397D"/>
    <w:rsid w:val="00E46741"/>
    <w:rsid w:val="00E517EC"/>
    <w:rsid w:val="00E540E9"/>
    <w:rsid w:val="00E72827"/>
    <w:rsid w:val="00EB2ADA"/>
    <w:rsid w:val="00F35FE8"/>
    <w:rsid w:val="00F461A0"/>
    <w:rsid w:val="00F73FD1"/>
    <w:rsid w:val="00FE2EDD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1D198C"/>
  <w14:defaultImageDpi w14:val="300"/>
  <w15:docId w15:val="{FF171687-BEF0-4A33-954F-74BB92CF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E3"/>
    <w:rPr>
      <w:rFonts w:ascii="HelveticaNeueLT Com 55 Roman" w:hAnsi="HelveticaNeueLT Com 55 Roman"/>
      <w:sz w:val="16"/>
    </w:rPr>
  </w:style>
  <w:style w:type="paragraph" w:styleId="Heading1">
    <w:name w:val="heading 1"/>
    <w:next w:val="Normal"/>
    <w:link w:val="Heading1Char"/>
    <w:uiPriority w:val="9"/>
    <w:qFormat/>
    <w:rsid w:val="00424260"/>
    <w:pPr>
      <w:keepNext/>
      <w:keepLines/>
      <w:spacing w:after="38" w:line="259" w:lineRule="auto"/>
      <w:ind w:left="10" w:hanging="10"/>
      <w:outlineLvl w:val="0"/>
    </w:pPr>
    <w:rPr>
      <w:rFonts w:ascii="Arial" w:eastAsia="Arial" w:hAnsi="Arial" w:cs="Arial"/>
      <w:b/>
      <w:color w:val="404040"/>
      <w:sz w:val="23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C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E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EBC"/>
    <w:rPr>
      <w:rFonts w:ascii="HelveticaNeueLT Com 55 Roman" w:hAnsi="HelveticaNeueLT Com 55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DB7E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EBC"/>
    <w:rPr>
      <w:rFonts w:ascii="HelveticaNeueLT Com 55 Roman" w:hAnsi="HelveticaNeueLT Com 55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B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F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F5A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DD752E"/>
    <w:pPr>
      <w:ind w:left="720"/>
      <w:contextualSpacing/>
    </w:pPr>
  </w:style>
  <w:style w:type="paragraph" w:customStyle="1" w:styleId="Default">
    <w:name w:val="Default"/>
    <w:rsid w:val="001D085A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character" w:styleId="Hyperlink">
    <w:name w:val="Hyperlink"/>
    <w:basedOn w:val="DefaultParagraphFont"/>
    <w:uiPriority w:val="99"/>
    <w:unhideWhenUsed/>
    <w:rsid w:val="0090462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24260"/>
    <w:rPr>
      <w:rFonts w:ascii="Arial" w:eastAsia="Arial" w:hAnsi="Arial" w:cs="Arial"/>
      <w:b/>
      <w:color w:val="404040"/>
      <w:sz w:val="23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C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26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C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C83"/>
    <w:rPr>
      <w:rFonts w:ascii="HelveticaNeueLT Com 55 Roman" w:hAnsi="HelveticaNeueLT Com 55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83"/>
    <w:rPr>
      <w:rFonts w:ascii="HelveticaNeueLT Com 55 Roman" w:hAnsi="HelveticaNeueLT Com 55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6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.cz/export/sites/cnb/cs/legislativa/.galleries/vyhlasky/vyhlaska_163_2014.pdf" TargetMode="External"/><Relationship Id="rId13" Type="http://schemas.openxmlformats.org/officeDocument/2006/relationships/hyperlink" Target="https://www.lynxbroker.cz/brexit-migrace-ibi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2004-256" TargetMode="External"/><Relationship Id="rId12" Type="http://schemas.openxmlformats.org/officeDocument/2006/relationships/hyperlink" Target="http://www.cnb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lynxbroker.cz/ochrana-osobnich-udaj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lynxbroker.cz/dokumenty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nb.cz/export/sites/cnb/cs/legislativa/.galleries/Vestnik-CNB/2014/vestnik_2014_15_22014560.pdf" TargetMode="External"/><Relationship Id="rId14" Type="http://schemas.openxmlformats.org/officeDocument/2006/relationships/hyperlink" Target="http://www.lynxbrok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</dc:creator>
  <cp:keywords/>
  <dc:description/>
  <cp:lastModifiedBy>LYNX - Jitka Karin Čermáková</cp:lastModifiedBy>
  <cp:revision>38</cp:revision>
  <cp:lastPrinted>2018-01-08T09:21:00Z</cp:lastPrinted>
  <dcterms:created xsi:type="dcterms:W3CDTF">2019-06-06T10:28:00Z</dcterms:created>
  <dcterms:modified xsi:type="dcterms:W3CDTF">2021-01-25T11:00:00Z</dcterms:modified>
</cp:coreProperties>
</file>